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D4B" w:rsidRDefault="00E40D4B" w:rsidP="00103382">
      <w:pPr>
        <w:spacing w:before="0" w:after="0" w:line="240" w:lineRule="auto"/>
        <w:rPr>
          <w:rFonts w:ascii="Arial" w:hAnsi="Arial" w:cs="Arial"/>
          <w:bCs/>
        </w:rPr>
      </w:pPr>
      <w:bookmarkStart w:id="0" w:name="_GoBack"/>
      <w:bookmarkEnd w:id="0"/>
    </w:p>
    <w:p w:rsidR="00E40D4B" w:rsidRDefault="00C0787B">
      <w:pPr>
        <w:tabs>
          <w:tab w:val="left" w:pos="1134"/>
          <w:tab w:val="left" w:pos="7797"/>
        </w:tabs>
        <w:spacing w:before="0" w:after="0" w:line="240" w:lineRule="auto"/>
        <w:rPr>
          <w:rFonts w:ascii="Arial" w:hAnsi="Arial" w:cs="Arial"/>
          <w:bCs/>
          <w:sz w:val="20"/>
        </w:rPr>
      </w:pPr>
      <w:r>
        <w:rPr>
          <w:rFonts w:ascii="Arial" w:hAnsi="Arial" w:cs="Arial"/>
          <w:bCs/>
          <w:sz w:val="20"/>
        </w:rPr>
        <w:t xml:space="preserve">Br: </w:t>
      </w:r>
      <w:r>
        <w:rPr>
          <w:rFonts w:ascii="Arial" w:hAnsi="Arial" w:cs="Arial"/>
          <w:bCs/>
          <w:sz w:val="20"/>
          <w:u w:val="single"/>
        </w:rPr>
        <w:t>07-328/26-2180/1</w:t>
      </w:r>
      <w:r>
        <w:rPr>
          <w:rFonts w:ascii="Arial" w:hAnsi="Arial" w:cs="Arial"/>
          <w:bCs/>
          <w:sz w:val="20"/>
        </w:rPr>
        <w:t xml:space="preserve">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28.04.2026. godine</w:t>
      </w:r>
      <w:r>
        <w:rPr>
          <w:rFonts w:ascii="Arial" w:hAnsi="Arial" w:cs="Arial"/>
          <w:bCs/>
          <w:sz w:val="20"/>
        </w:rPr>
        <w:tab/>
      </w:r>
    </w:p>
    <w:p w:rsidR="00E40D4B" w:rsidRDefault="00C0787B">
      <w:pPr>
        <w:jc w:val="center"/>
        <w:rPr>
          <w:rFonts w:ascii="Arial" w:hAnsi="Arial" w:cs="Arial"/>
          <w:b/>
        </w:rPr>
      </w:pPr>
      <w:r>
        <w:rPr>
          <w:rFonts w:ascii="Arial" w:hAnsi="Arial" w:cs="Arial"/>
          <w:b/>
          <w:sz w:val="36"/>
          <w:szCs w:val="36"/>
        </w:rPr>
        <w:t>S E K T O R S K A   A N A L I Z A</w:t>
      </w:r>
      <w:r>
        <w:rPr>
          <w:rFonts w:ascii="Arial" w:hAnsi="Arial" w:cs="Arial"/>
          <w:b/>
          <w:sz w:val="36"/>
          <w:szCs w:val="36"/>
        </w:rPr>
        <w:br/>
      </w:r>
      <w:r>
        <w:rPr>
          <w:rFonts w:ascii="Arial" w:hAnsi="Arial" w:cs="Arial"/>
          <w:b/>
        </w:rPr>
        <w:t xml:space="preserve">za utvrđivanje predloga prioritetnih oblasti od javnog interesa i potrebnih sredstava </w:t>
      </w:r>
      <w:r>
        <w:rPr>
          <w:rFonts w:ascii="Arial" w:hAnsi="Arial" w:cs="Arial"/>
          <w:b/>
        </w:rPr>
        <w:br/>
        <w:t>za finansiranje projekata i programa nevladinih organizacija</w:t>
      </w:r>
      <w:r>
        <w:rPr>
          <w:rFonts w:ascii="Arial" w:hAnsi="Arial" w:cs="Arial"/>
          <w:b/>
        </w:rPr>
        <w:br/>
        <w:t>iz Budžeta Crne Gore u 2027. godini</w:t>
      </w:r>
    </w:p>
    <w:tbl>
      <w:tblPr>
        <w:tblStyle w:val="TableGrid"/>
        <w:tblW w:w="0" w:type="auto"/>
        <w:tblInd w:w="600" w:type="dxa"/>
        <w:tblLook w:val="04A0" w:firstRow="1" w:lastRow="0" w:firstColumn="1" w:lastColumn="0" w:noHBand="0" w:noVBand="1"/>
      </w:tblPr>
      <w:tblGrid>
        <w:gridCol w:w="14385"/>
      </w:tblGrid>
      <w:tr w:rsidR="00E40D4B">
        <w:tc>
          <w:tcPr>
            <w:tcW w:w="14538" w:type="dxa"/>
            <w:tcBorders>
              <w:bottom w:val="single" w:sz="18" w:space="0" w:color="auto"/>
            </w:tcBorders>
            <w:tcMar>
              <w:top w:w="57" w:type="dxa"/>
              <w:bottom w:w="57" w:type="dxa"/>
            </w:tcMar>
          </w:tcPr>
          <w:p w:rsidR="00E40D4B" w:rsidRDefault="00C0787B">
            <w:pPr>
              <w:rPr>
                <w:rFonts w:ascii="Arial" w:eastAsia="MS Mincho" w:hAnsi="Arial" w:cs="Arial"/>
                <w:i/>
                <w:szCs w:val="20"/>
              </w:rPr>
            </w:pPr>
            <w:r>
              <w:rPr>
                <w:rFonts w:ascii="Arial" w:eastAsia="MS Mincho" w:hAnsi="Arial" w:cs="Arial"/>
                <w:i/>
                <w:szCs w:val="20"/>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E40D4B" w:rsidRDefault="00E40D4B">
      <w:pPr>
        <w:rPr>
          <w:rFonts w:ascii="Arial" w:hAnsi="Arial" w:cs="Arial"/>
        </w:rPr>
      </w:pPr>
    </w:p>
    <w:p w:rsidR="00E40D4B" w:rsidRDefault="00E40D4B">
      <w:pPr>
        <w:rPr>
          <w:rFonts w:ascii="Arial" w:hAnsi="Arial" w:cs="Arial"/>
        </w:rPr>
      </w:pPr>
    </w:p>
    <w:p w:rsidR="00E40D4B" w:rsidRDefault="00E40D4B">
      <w:pPr>
        <w:rPr>
          <w:rFonts w:ascii="Arial" w:hAnsi="Arial" w:cs="Arial"/>
        </w:rPr>
      </w:pPr>
    </w:p>
    <w:p w:rsidR="00E40D4B" w:rsidRDefault="00E40D4B">
      <w:pPr>
        <w:rPr>
          <w:rFonts w:ascii="Arial" w:hAnsi="Arial" w:cs="Arial"/>
        </w:rPr>
      </w:pPr>
    </w:p>
    <w:p w:rsidR="002032BE" w:rsidRDefault="002032BE">
      <w:pPr>
        <w:rPr>
          <w:rFonts w:ascii="Arial" w:hAnsi="Arial" w:cs="Arial"/>
        </w:rPr>
      </w:pPr>
    </w:p>
    <w:p w:rsidR="002032BE" w:rsidRDefault="002032BE">
      <w:pPr>
        <w:rPr>
          <w:rFonts w:ascii="Arial" w:hAnsi="Arial" w:cs="Arial"/>
        </w:rPr>
      </w:pPr>
    </w:p>
    <w:p w:rsidR="00E40D4B" w:rsidRDefault="00C0787B">
      <w:pPr>
        <w:pStyle w:val="ListParagraph"/>
        <w:numPr>
          <w:ilvl w:val="0"/>
          <w:numId w:val="1"/>
        </w:numPr>
        <w:rPr>
          <w:rFonts w:ascii="Arial" w:hAnsi="Arial" w:cs="Arial"/>
          <w:b/>
          <w:u w:val="single"/>
          <w:lang w:val="sr-Latn-ME"/>
        </w:rPr>
      </w:pPr>
      <w:r>
        <w:rPr>
          <w:rFonts w:ascii="Arial" w:hAnsi="Arial" w:cs="Arial"/>
          <w:b/>
          <w:u w:val="single"/>
          <w:lang w:val="sr-Latn-ME"/>
        </w:rPr>
        <w:lastRenderedPageBreak/>
        <w:t>OBLASTI OD JAVNOG INTERESA U KOJIMA SE PLANIRA FINANSIJSKA PODRŠKA ZA PROJEKTE I PROGRAME NVO</w:t>
      </w:r>
    </w:p>
    <w:p w:rsidR="002032BE" w:rsidRDefault="002032BE">
      <w:pPr>
        <w:pStyle w:val="ListParagraph"/>
        <w:rPr>
          <w:rFonts w:ascii="Arial" w:hAnsi="Arial" w:cs="Arial"/>
          <w:lang w:val="sr-Latn-ME"/>
        </w:rPr>
      </w:pPr>
    </w:p>
    <w:p w:rsidR="00E40D4B" w:rsidRDefault="00C0787B">
      <w:pPr>
        <w:pStyle w:val="ListParagraph"/>
        <w:rPr>
          <w:rFonts w:ascii="Arial" w:hAnsi="Arial" w:cs="Arial"/>
          <w:lang w:val="sr-Latn-ME"/>
        </w:rPr>
      </w:pPr>
      <w:r>
        <w:rPr>
          <w:rFonts w:ascii="Arial" w:hAnsi="Arial" w:cs="Arial"/>
          <w:lang w:val="sr-Latn-ME"/>
        </w:rPr>
        <w:t>1.1.Navesti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E40D4B">
        <w:trPr>
          <w:cantSplit/>
        </w:trPr>
        <w:tc>
          <w:tcPr>
            <w:tcW w:w="496" w:type="dxa"/>
            <w:tcBorders>
              <w:top w:val="single" w:sz="18" w:space="0" w:color="auto"/>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top w:val="single" w:sz="18" w:space="0" w:color="auto"/>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16"/>
                <w:szCs w:val="16"/>
              </w:rPr>
              <w:t></w:t>
            </w:r>
          </w:p>
        </w:tc>
        <w:tc>
          <w:tcPr>
            <w:tcW w:w="4324" w:type="dxa"/>
            <w:tcBorders>
              <w:top w:val="single" w:sz="18" w:space="0" w:color="auto"/>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zaštita životne sredine</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highlight w:val="cyan"/>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smanjenje siromaštva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E40D4B" w:rsidRDefault="00C0787B">
            <w:pPr>
              <w:rPr>
                <w:rFonts w:ascii="Arial" w:hAnsi="Arial" w:cs="Arial"/>
                <w:sz w:val="20"/>
                <w:szCs w:val="20"/>
                <w:highlight w:val="cyan"/>
              </w:rPr>
            </w:pPr>
            <w:r>
              <w:rPr>
                <w:rFonts w:ascii="Arial" w:hAnsi="Arial" w:cs="Arial"/>
                <w:sz w:val="16"/>
                <w:szCs w:val="16"/>
              </w:rPr>
              <w:t></w:t>
            </w:r>
          </w:p>
        </w:tc>
        <w:tc>
          <w:tcPr>
            <w:tcW w:w="4324"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poljoprivreda i ruralni razvoj</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zaštita lica sa invaliditetom</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16"/>
                <w:szCs w:val="16"/>
              </w:rPr>
              <w:t></w:t>
            </w:r>
          </w:p>
        </w:tc>
        <w:tc>
          <w:tcPr>
            <w:tcW w:w="4324"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održivi razvoj</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nauka</w:t>
            </w:r>
          </w:p>
        </w:tc>
        <w:tc>
          <w:tcPr>
            <w:tcW w:w="568" w:type="dxa"/>
            <w:tcBorders>
              <w:right w:val="nil"/>
            </w:tcBorders>
            <w:shd w:val="clear" w:color="auto" w:fill="auto"/>
            <w:tcMar>
              <w:bottom w:w="57" w:type="dxa"/>
            </w:tcMar>
          </w:tcPr>
          <w:p w:rsidR="00E40D4B" w:rsidRDefault="00C0787B">
            <w:pPr>
              <w:rPr>
                <w:rFonts w:ascii="Arial" w:hAnsi="Arial" w:cs="Arial"/>
                <w:b/>
                <w:sz w:val="20"/>
                <w:szCs w:val="20"/>
              </w:rPr>
            </w:pPr>
            <w:r>
              <w:rPr>
                <w:rFonts w:ascii="Arial" w:hAnsi="Arial" w:cs="Arial"/>
                <w:b/>
                <w:sz w:val="20"/>
                <w:szCs w:val="20"/>
              </w:rPr>
              <w:t>x</w:t>
            </w:r>
          </w:p>
        </w:tc>
        <w:tc>
          <w:tcPr>
            <w:tcW w:w="4324" w:type="dxa"/>
            <w:tcBorders>
              <w:left w:val="nil"/>
            </w:tcBorders>
            <w:shd w:val="clear" w:color="auto" w:fill="auto"/>
            <w:tcMar>
              <w:left w:w="0" w:type="dxa"/>
              <w:bottom w:w="57" w:type="dxa"/>
            </w:tcMar>
          </w:tcPr>
          <w:p w:rsidR="00E40D4B" w:rsidRDefault="00C0787B">
            <w:pPr>
              <w:rPr>
                <w:rFonts w:ascii="Arial" w:hAnsi="Arial" w:cs="Arial"/>
                <w:b/>
                <w:sz w:val="20"/>
                <w:szCs w:val="20"/>
              </w:rPr>
            </w:pPr>
            <w:r>
              <w:rPr>
                <w:rFonts w:ascii="Arial" w:hAnsi="Arial" w:cs="Arial"/>
                <w:b/>
                <w:sz w:val="20"/>
                <w:szCs w:val="20"/>
              </w:rPr>
              <w:t>zaštita potrošača</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pomoć starijim licima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umjetnost</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324"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rodna ravnopravnost</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kultura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324"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borba protiv korupcije i organizovanog kriminala</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4118"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vladavina  prava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402"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tehnička kultura</w:t>
            </w:r>
          </w:p>
        </w:tc>
        <w:tc>
          <w:tcPr>
            <w:tcW w:w="568" w:type="dxa"/>
            <w:tcBorders>
              <w:right w:val="nil"/>
            </w:tcBorders>
            <w:shd w:val="clear" w:color="auto" w:fill="auto"/>
            <w:tcMar>
              <w:bottom w:w="57" w:type="dxa"/>
            </w:tcMar>
          </w:tcPr>
          <w:p w:rsidR="00E40D4B" w:rsidRDefault="00C0787B">
            <w:pPr>
              <w:rPr>
                <w:rFonts w:ascii="Arial" w:hAnsi="Arial" w:cs="Arial"/>
                <w:sz w:val="20"/>
                <w:szCs w:val="20"/>
              </w:rPr>
            </w:pPr>
            <w:r>
              <w:rPr>
                <w:rFonts w:ascii="Arial" w:hAnsi="Arial" w:cs="Arial"/>
                <w:sz w:val="20"/>
                <w:szCs w:val="20"/>
              </w:rPr>
              <w:t></w:t>
            </w:r>
          </w:p>
        </w:tc>
        <w:tc>
          <w:tcPr>
            <w:tcW w:w="4324" w:type="dxa"/>
            <w:tcBorders>
              <w:left w:val="nil"/>
            </w:tcBorders>
            <w:shd w:val="clear" w:color="auto" w:fill="auto"/>
            <w:tcMar>
              <w:left w:w="0" w:type="dxa"/>
              <w:bottom w:w="57" w:type="dxa"/>
            </w:tcMar>
          </w:tcPr>
          <w:p w:rsidR="00E40D4B" w:rsidRDefault="00C0787B">
            <w:pPr>
              <w:rPr>
                <w:rFonts w:ascii="Arial" w:hAnsi="Arial" w:cs="Arial"/>
                <w:sz w:val="20"/>
                <w:szCs w:val="20"/>
              </w:rPr>
            </w:pPr>
            <w:r>
              <w:rPr>
                <w:rFonts w:ascii="Arial" w:hAnsi="Arial" w:cs="Arial"/>
                <w:sz w:val="20"/>
                <w:szCs w:val="20"/>
              </w:rPr>
              <w:t>borba  protiv  bolesti  zavisnosti</w:t>
            </w:r>
          </w:p>
        </w:tc>
      </w:tr>
      <w:tr w:rsidR="00E40D4B">
        <w:trPr>
          <w:cantSplit/>
        </w:trPr>
        <w:tc>
          <w:tcPr>
            <w:tcW w:w="496" w:type="dxa"/>
            <w:tcBorders>
              <w:right w:val="nil"/>
            </w:tcBorders>
            <w:shd w:val="clear" w:color="auto" w:fill="auto"/>
            <w:tcMar>
              <w:bottom w:w="57" w:type="dxa"/>
            </w:tcMar>
          </w:tcPr>
          <w:p w:rsidR="00E40D4B" w:rsidRDefault="00C0787B">
            <w:pPr>
              <w:rPr>
                <w:rFonts w:ascii="Arial" w:hAnsi="Arial" w:cs="Arial"/>
                <w:sz w:val="16"/>
                <w:szCs w:val="16"/>
              </w:rPr>
            </w:pPr>
            <w:r>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E40D4B" w:rsidRDefault="00C0787B">
            <w:pPr>
              <w:autoSpaceDE w:val="0"/>
              <w:autoSpaceDN w:val="0"/>
              <w:adjustRightInd w:val="0"/>
              <w:spacing w:before="0" w:after="0" w:line="240" w:lineRule="auto"/>
              <w:jc w:val="left"/>
              <w:rPr>
                <w:rFonts w:ascii="Arial" w:hAnsi="Arial" w:cs="Arial"/>
                <w:sz w:val="20"/>
                <w:szCs w:val="20"/>
                <w:u w:val="single"/>
              </w:rPr>
            </w:pPr>
            <w:r>
              <w:rPr>
                <w:rFonts w:ascii="Arial" w:hAnsi="Arial" w:cs="Arial"/>
                <w:sz w:val="20"/>
                <w:szCs w:val="20"/>
              </w:rPr>
              <w:t xml:space="preserve">druge  oblasti  od  javnog  interesa  utvrđene posebnim zakonom (navesti koje):  </w:t>
            </w:r>
            <w:r>
              <w:rPr>
                <w:rFonts w:ascii="Arial" w:hAnsi="Arial" w:cs="Arial"/>
                <w:sz w:val="20"/>
                <w:szCs w:val="20"/>
                <w:u w:val="single"/>
              </w:rPr>
              <w:t xml:space="preserve">regionalni razvoj i  investicioni ambijent </w:t>
            </w:r>
          </w:p>
          <w:p w:rsidR="00E40D4B" w:rsidRDefault="00E40D4B">
            <w:pPr>
              <w:autoSpaceDE w:val="0"/>
              <w:autoSpaceDN w:val="0"/>
              <w:adjustRightInd w:val="0"/>
              <w:spacing w:before="0" w:after="0" w:line="240" w:lineRule="auto"/>
              <w:jc w:val="left"/>
              <w:rPr>
                <w:rFonts w:ascii="Arial" w:hAnsi="Arial" w:cs="Arial"/>
                <w:sz w:val="20"/>
                <w:szCs w:val="20"/>
              </w:rPr>
            </w:pPr>
          </w:p>
          <w:p w:rsidR="00E40D4B" w:rsidRDefault="00C0787B">
            <w:pPr>
              <w:pStyle w:val="ListParagraph"/>
              <w:numPr>
                <w:ilvl w:val="0"/>
                <w:numId w:val="2"/>
              </w:numPr>
              <w:autoSpaceDE w:val="0"/>
              <w:autoSpaceDN w:val="0"/>
              <w:adjustRightInd w:val="0"/>
              <w:spacing w:after="0"/>
              <w:rPr>
                <w:rFonts w:ascii="Arial" w:hAnsi="Arial" w:cs="Arial"/>
                <w:sz w:val="20"/>
                <w:szCs w:val="20"/>
              </w:rPr>
            </w:pPr>
            <w:r>
              <w:rPr>
                <w:rFonts w:ascii="Arial" w:hAnsi="Arial" w:cs="Arial"/>
                <w:sz w:val="20"/>
                <w:szCs w:val="20"/>
              </w:rPr>
              <w:t>Zakon o regionalnom razvoju (“Službeni list Crne Gore”, br. 20/2011, 26/2011, 20/2015 i 47/2019)</w:t>
            </w:r>
          </w:p>
          <w:p w:rsidR="00E40D4B" w:rsidRDefault="00C0787B">
            <w:pPr>
              <w:pStyle w:val="ListParagraph"/>
              <w:numPr>
                <w:ilvl w:val="0"/>
                <w:numId w:val="2"/>
              </w:numPr>
              <w:autoSpaceDE w:val="0"/>
              <w:autoSpaceDN w:val="0"/>
              <w:adjustRightInd w:val="0"/>
              <w:spacing w:after="0"/>
              <w:rPr>
                <w:rFonts w:ascii="Calibri" w:hAnsi="Calibri" w:cs="Calibri"/>
                <w:sz w:val="23"/>
                <w:szCs w:val="23"/>
              </w:rPr>
            </w:pPr>
            <w:r>
              <w:rPr>
                <w:rFonts w:ascii="Arial" w:hAnsi="Arial" w:cs="Arial"/>
                <w:sz w:val="20"/>
                <w:szCs w:val="20"/>
              </w:rPr>
              <w:t xml:space="preserve">Zakon o unaprjeđenju poslovnog ambijenta </w:t>
            </w:r>
            <w:r>
              <w:rPr>
                <w:rFonts w:ascii="Calibri" w:hAnsi="Calibri" w:cs="Calibri"/>
                <w:sz w:val="23"/>
                <w:szCs w:val="23"/>
              </w:rPr>
              <w:t>("Službeni list Crne Gore", br. 040/10 i 018/19);</w:t>
            </w:r>
          </w:p>
          <w:p w:rsidR="00E40D4B" w:rsidRDefault="00C0787B">
            <w:pPr>
              <w:pStyle w:val="ListParagraph"/>
              <w:numPr>
                <w:ilvl w:val="0"/>
                <w:numId w:val="2"/>
              </w:numPr>
              <w:autoSpaceDE w:val="0"/>
              <w:autoSpaceDN w:val="0"/>
              <w:adjustRightInd w:val="0"/>
              <w:spacing w:after="0"/>
              <w:rPr>
                <w:rFonts w:ascii="Calibri" w:hAnsi="Calibri" w:cs="Calibri"/>
                <w:sz w:val="23"/>
                <w:szCs w:val="23"/>
              </w:rPr>
            </w:pPr>
            <w:r>
              <w:rPr>
                <w:rFonts w:ascii="Calibri" w:hAnsi="Calibri" w:cs="Calibri"/>
                <w:sz w:val="23"/>
                <w:szCs w:val="23"/>
              </w:rPr>
              <w:t>Zakon o privrednim društvima ("Službeni list Crne Gore", br. 065/20, 146/21 i 004/24)</w:t>
            </w:r>
          </w:p>
          <w:p w:rsidR="00E40D4B" w:rsidRDefault="00E40D4B">
            <w:pPr>
              <w:jc w:val="left"/>
              <w:rPr>
                <w:rFonts w:ascii="Arial" w:hAnsi="Arial" w:cs="Arial"/>
                <w:sz w:val="20"/>
                <w:szCs w:val="20"/>
              </w:rPr>
            </w:pPr>
          </w:p>
        </w:tc>
      </w:tr>
    </w:tbl>
    <w:p w:rsidR="00E40D4B" w:rsidRDefault="00E40D4B">
      <w:pPr>
        <w:pStyle w:val="ListParagraph"/>
        <w:rPr>
          <w:rFonts w:ascii="Arial" w:hAnsi="Arial" w:cs="Arial"/>
          <w:b/>
          <w:lang w:val="sr-Latn-ME"/>
        </w:rPr>
      </w:pPr>
    </w:p>
    <w:p w:rsidR="002032BE" w:rsidRDefault="002032BE">
      <w:pPr>
        <w:pStyle w:val="ListParagraph"/>
        <w:rPr>
          <w:rFonts w:ascii="Arial" w:hAnsi="Arial" w:cs="Arial"/>
          <w:b/>
          <w:lang w:val="sr-Latn-ME"/>
        </w:rPr>
      </w:pPr>
    </w:p>
    <w:p w:rsidR="002032BE" w:rsidRDefault="002032BE">
      <w:pPr>
        <w:pStyle w:val="ListParagraph"/>
        <w:rPr>
          <w:rFonts w:ascii="Arial" w:hAnsi="Arial" w:cs="Arial"/>
          <w:b/>
          <w:lang w:val="sr-Latn-ME"/>
        </w:rPr>
      </w:pPr>
    </w:p>
    <w:p w:rsidR="00E40D4B" w:rsidRDefault="00C0787B">
      <w:pPr>
        <w:pStyle w:val="ListParagraph"/>
        <w:numPr>
          <w:ilvl w:val="0"/>
          <w:numId w:val="1"/>
        </w:numPr>
        <w:rPr>
          <w:rFonts w:ascii="Arial" w:hAnsi="Arial" w:cs="Arial"/>
          <w:b/>
          <w:lang w:val="sr-Latn-ME"/>
        </w:rPr>
      </w:pPr>
      <w:r>
        <w:rPr>
          <w:rFonts w:ascii="Arial" w:hAnsi="Arial" w:cs="Arial"/>
          <w:b/>
          <w:lang w:val="sr-Latn-ME"/>
        </w:rPr>
        <w:lastRenderedPageBreak/>
        <w:t xml:space="preserve">PRIORITETNI PROBLEMI I POTREBE KOJE TREBA RIJEŠITI U </w:t>
      </w:r>
      <w:r>
        <w:rPr>
          <w:rFonts w:ascii="Arial" w:hAnsi="Arial" w:cs="Arial"/>
          <w:b/>
          <w:u w:val="single"/>
          <w:lang w:val="sr-Latn-ME"/>
        </w:rPr>
        <w:t>2027. GODINI</w:t>
      </w:r>
      <w:r>
        <w:rPr>
          <w:rFonts w:ascii="Arial" w:hAnsi="Arial" w:cs="Arial"/>
          <w:b/>
          <w:lang w:val="sr-Latn-ME"/>
        </w:rPr>
        <w:t xml:space="preserve"> FINANSIRANJEM PROJEKATA I PROGRAMA NVO</w:t>
      </w:r>
    </w:p>
    <w:p w:rsidR="002032BE" w:rsidRDefault="002032BE" w:rsidP="002032BE">
      <w:pPr>
        <w:pStyle w:val="ListParagraph"/>
        <w:ind w:left="1080"/>
        <w:rPr>
          <w:rFonts w:ascii="Arial" w:hAnsi="Arial" w:cs="Arial"/>
          <w:b/>
          <w:lang w:val="sr-Latn-ME"/>
        </w:rPr>
      </w:pPr>
    </w:p>
    <w:p w:rsidR="00E40D4B" w:rsidRDefault="00C0787B">
      <w:pPr>
        <w:pStyle w:val="ListParagraph"/>
        <w:jc w:val="both"/>
        <w:rPr>
          <w:rFonts w:ascii="Arial" w:hAnsi="Arial" w:cs="Arial"/>
          <w:lang w:val="sr-Latn-ME"/>
        </w:rPr>
      </w:pPr>
      <w:r>
        <w:rPr>
          <w:rFonts w:ascii="Arial" w:hAnsi="Arial" w:cs="Arial"/>
          <w:lang w:val="sr-Latn-ME"/>
        </w:rPr>
        <w:t>2.1. 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E40D4B">
        <w:tc>
          <w:tcPr>
            <w:tcW w:w="13746" w:type="dxa"/>
            <w:gridSpan w:val="2"/>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Opis problema:</w:t>
            </w:r>
          </w:p>
        </w:tc>
      </w:tr>
      <w:tr w:rsidR="00E40D4B">
        <w:tc>
          <w:tcPr>
            <w:tcW w:w="13746" w:type="dxa"/>
            <w:gridSpan w:val="2"/>
            <w:tcMar>
              <w:top w:w="57" w:type="dxa"/>
              <w:bottom w:w="57" w:type="dxa"/>
            </w:tcMar>
          </w:tcPr>
          <w:p w:rsidR="00E40D4B" w:rsidRDefault="00C0787B">
            <w:pPr>
              <w:rPr>
                <w:rFonts w:ascii="Arial" w:eastAsia="MS Mincho" w:hAnsi="Arial" w:cs="Arial"/>
                <w:szCs w:val="20"/>
                <w:lang w:val="en-US"/>
              </w:rPr>
            </w:pPr>
            <w:r>
              <w:rPr>
                <w:rFonts w:ascii="Arial" w:eastAsia="MS Mincho" w:hAnsi="Arial" w:cs="Arial"/>
                <w:szCs w:val="20"/>
                <w:lang w:val="en-US"/>
              </w:rPr>
              <w:t>1.Nedovoljno poznavanje važećih zakonskih propisa iz oblasti zaštite potrošača</w:t>
            </w:r>
          </w:p>
          <w:p w:rsidR="00E40D4B" w:rsidRDefault="00C0787B">
            <w:pPr>
              <w:rPr>
                <w:rFonts w:ascii="Arial" w:eastAsia="MS Mincho" w:hAnsi="Arial"/>
                <w:szCs w:val="20"/>
                <w:lang w:val="en-US"/>
              </w:rPr>
            </w:pPr>
            <w:r>
              <w:rPr>
                <w:rFonts w:ascii="Arial" w:eastAsia="MS Mincho" w:hAnsi="Arial"/>
                <w:szCs w:val="20"/>
                <w:lang w:val="en-US"/>
              </w:rPr>
              <w:t>Donošenje novog Zakona o zaštiti potrošača ukazuje na dalji razvoj i unapređenje normativnog okvira u ovoj oblasti, prvenstveno kroz usklađivanje sa savremenom pravnom tekovinom Evropske unije, ali i kroz potrebu da se postojeća rješenja unaprijede na osnovu iskustava iz njihove višegodišnje primjene. Ovaj proces dio je šireg konteksta evropskih integracija, konkretno aktivnosti usmjerenih ka ispunjavanju završnih mjerila za zatvaranje pregovaračkog poglavlja 28 (Zaštita potrošača i javnog zdravlja), što je potvrđeno nalazima ekspertske misije Evropske komisije iz novembra 2023. godine.</w:t>
            </w:r>
          </w:p>
          <w:p w:rsidR="00E40D4B" w:rsidRDefault="00C0787B">
            <w:pPr>
              <w:rPr>
                <w:rFonts w:ascii="Arial" w:eastAsia="MS Mincho" w:hAnsi="Arial"/>
                <w:szCs w:val="20"/>
                <w:lang w:val="en-US"/>
              </w:rPr>
            </w:pPr>
            <w:r>
              <w:rPr>
                <w:rFonts w:ascii="Arial" w:eastAsia="MS Mincho" w:hAnsi="Arial"/>
                <w:szCs w:val="20"/>
                <w:lang w:val="en-US"/>
              </w:rPr>
              <w:t xml:space="preserve">U tom smislu, novi zakon predstavlja završni korak u procesu započetom 2019. godine, a koji je uključivao definisanje operativnih zaključaka sa Evropskom komisijom i sprovođenje tzv. „peer </w:t>
            </w:r>
            <w:proofErr w:type="gramStart"/>
            <w:r>
              <w:rPr>
                <w:rFonts w:ascii="Arial" w:eastAsia="MS Mincho" w:hAnsi="Arial"/>
                <w:szCs w:val="20"/>
                <w:lang w:val="en-US"/>
              </w:rPr>
              <w:t>review“ misije</w:t>
            </w:r>
            <w:proofErr w:type="gramEnd"/>
            <w:r>
              <w:rPr>
                <w:rFonts w:ascii="Arial" w:eastAsia="MS Mincho" w:hAnsi="Arial"/>
                <w:szCs w:val="20"/>
                <w:lang w:val="en-US"/>
              </w:rPr>
              <w:t xml:space="preserve"> 2022. godine, sa ciljem procjene spremnosti Crne Gore za potpuno preuzimanje i efikasnu primjenu potrošačke pravne tekovine EU. Nalazi ove misije ukazali su da je jedan od ključnih preostalih zadataka dalje usklađivanje zakonodavstva, posebno kroz preuzimanje tri direktive iz 2019. godine.</w:t>
            </w:r>
          </w:p>
          <w:p w:rsidR="00E40D4B" w:rsidRDefault="00C0787B">
            <w:pPr>
              <w:rPr>
                <w:rFonts w:ascii="Arial" w:eastAsia="MS Mincho" w:hAnsi="Arial"/>
                <w:szCs w:val="20"/>
                <w:lang w:val="en-US"/>
              </w:rPr>
            </w:pPr>
            <w:r>
              <w:rPr>
                <w:rFonts w:ascii="Arial" w:eastAsia="MS Mincho" w:hAnsi="Arial"/>
                <w:szCs w:val="20"/>
                <w:lang w:val="en-US"/>
              </w:rPr>
              <w:t>Konkretno, novi zakon obezbjeđuje implementaciju:</w:t>
            </w:r>
          </w:p>
          <w:p w:rsidR="00E40D4B" w:rsidRDefault="00E40D4B">
            <w:pPr>
              <w:rPr>
                <w:rFonts w:ascii="Arial" w:eastAsia="MS Mincho" w:hAnsi="Arial"/>
                <w:szCs w:val="20"/>
                <w:lang w:val="en-US"/>
              </w:rPr>
            </w:pPr>
          </w:p>
          <w:p w:rsidR="00E40D4B" w:rsidRDefault="00C0787B">
            <w:pPr>
              <w:rPr>
                <w:rFonts w:ascii="Arial" w:eastAsia="MS Mincho" w:hAnsi="Arial"/>
                <w:szCs w:val="20"/>
                <w:lang w:val="en-US"/>
              </w:rPr>
            </w:pPr>
            <w:r>
              <w:rPr>
                <w:rFonts w:ascii="Arial" w:eastAsia="MS Mincho" w:hAnsi="Arial"/>
                <w:szCs w:val="20"/>
                <w:lang w:val="en-US"/>
              </w:rPr>
              <w:t>Direktive (EU) 2019/2161 (tzv. Omnibus direktiva), kojom se mijenjaju postojeća pravila u oblasti isticanja cijena, nepoštenih poslovnih praksi, nepoštenih ugovornih odredbi i prodaje na daljinu;</w:t>
            </w:r>
          </w:p>
          <w:p w:rsidR="00E40D4B" w:rsidRDefault="00C0787B">
            <w:pPr>
              <w:rPr>
                <w:rFonts w:ascii="Arial" w:eastAsia="MS Mincho" w:hAnsi="Arial"/>
                <w:szCs w:val="20"/>
                <w:lang w:val="en-US"/>
              </w:rPr>
            </w:pPr>
            <w:r>
              <w:rPr>
                <w:rFonts w:ascii="Arial" w:eastAsia="MS Mincho" w:hAnsi="Arial"/>
                <w:szCs w:val="20"/>
                <w:lang w:val="en-US"/>
              </w:rPr>
              <w:t>Direktive (EU) 2019/770 o određenim aspektima ugovora o isporuci digitalnog sadržaja i digitalnih usluga;</w:t>
            </w:r>
          </w:p>
          <w:p w:rsidR="00E40D4B" w:rsidRDefault="00C0787B">
            <w:pPr>
              <w:rPr>
                <w:rFonts w:ascii="Arial" w:eastAsia="MS Mincho" w:hAnsi="Arial"/>
                <w:szCs w:val="20"/>
                <w:lang w:val="en-US"/>
              </w:rPr>
            </w:pPr>
            <w:r>
              <w:rPr>
                <w:rFonts w:ascii="Arial" w:eastAsia="MS Mincho" w:hAnsi="Arial"/>
                <w:szCs w:val="20"/>
                <w:lang w:val="en-US"/>
              </w:rPr>
              <w:t>Direktive (EU) 2019/771 o određenim aspektima ugovora o prodaji robe.</w:t>
            </w:r>
          </w:p>
          <w:p w:rsidR="00E40D4B" w:rsidRDefault="00E40D4B">
            <w:pPr>
              <w:rPr>
                <w:rFonts w:ascii="Arial" w:eastAsia="MS Mincho" w:hAnsi="Arial"/>
                <w:szCs w:val="20"/>
                <w:lang w:val="en-US"/>
              </w:rPr>
            </w:pPr>
          </w:p>
          <w:p w:rsidR="00E40D4B" w:rsidRDefault="00C0787B">
            <w:pPr>
              <w:rPr>
                <w:rFonts w:ascii="Arial" w:eastAsia="MS Mincho" w:hAnsi="Arial"/>
                <w:szCs w:val="20"/>
                <w:lang w:val="en-US"/>
              </w:rPr>
            </w:pPr>
            <w:r>
              <w:rPr>
                <w:rFonts w:ascii="Arial" w:eastAsia="MS Mincho" w:hAnsi="Arial"/>
                <w:szCs w:val="20"/>
                <w:lang w:val="en-US"/>
              </w:rPr>
              <w:t>Poseban značaj ovih izmjena ogleda se u činjenici da se pravni okvir dodatno modernizuje i prilagođava digitalnom tržištu, kroz uvođenje novih pravila koja prave jasnu razliku između materijalne robe, robe sa digitalnim elementima, kao i digitalnog sadržaja i usluga. Istovremeno, Omnibus direktiva dodatno unapređuje nivo transparentnosti i zaštite potrošača u pogledu tržišnih praksi.</w:t>
            </w:r>
          </w:p>
          <w:p w:rsidR="00E40D4B" w:rsidRDefault="00C0787B">
            <w:pPr>
              <w:rPr>
                <w:rFonts w:ascii="Arial" w:eastAsia="MS Mincho" w:hAnsi="Arial"/>
                <w:szCs w:val="20"/>
                <w:lang w:val="en-US"/>
              </w:rPr>
            </w:pPr>
            <w:r>
              <w:rPr>
                <w:rFonts w:ascii="Arial" w:eastAsia="MS Mincho" w:hAnsi="Arial"/>
                <w:szCs w:val="20"/>
                <w:lang w:val="en-US"/>
              </w:rPr>
              <w:t>Međutim, povećanje obima i složenosti pravnog okvira istovremeno ukazuje na izazov njegove praktične primjene. Iako je značajan dio zakonodavstva već ranije ocijenjen kao potpuno usklađen sa pravnom tekovinom EU, iskustva iz dosadašnje primjene ukazuju na ograničen nivo informisanosti i razumijevanja potrošačkih prava među građanima. U tom kontekstu, dalje unapređenje zakonodavstva ne mora nužno dovesti do proporcionalnog povećanja nivoa zaštite u praksi.</w:t>
            </w:r>
          </w:p>
          <w:p w:rsidR="00E40D4B" w:rsidRDefault="00C0787B">
            <w:pPr>
              <w:rPr>
                <w:rFonts w:ascii="Arial" w:eastAsia="MS Mincho" w:hAnsi="Arial"/>
                <w:szCs w:val="20"/>
                <w:lang w:val="en-US"/>
              </w:rPr>
            </w:pPr>
            <w:r>
              <w:rPr>
                <w:rFonts w:ascii="Arial" w:eastAsia="MS Mincho" w:hAnsi="Arial"/>
                <w:szCs w:val="20"/>
                <w:lang w:val="en-US"/>
              </w:rPr>
              <w:t>Nalazi procesa evropskih integracija, uključujući ekspertsku misiju Evropske komisije, pored normativnog usklađivanja, ukazuju i na značaj efikasne implementacije, što podrazumijeva ne samo institucionalne kapacitete, već i nivo informisanosti i sposobnosti potrošača da koriste svoja prava. Upravo u tom segmentu prepoznaje se jaz između formalno uspostavljenog sistema zaštite i njegove stvarne primjene.</w:t>
            </w:r>
          </w:p>
          <w:p w:rsidR="00E40D4B" w:rsidRDefault="00C0787B">
            <w:pPr>
              <w:rPr>
                <w:rFonts w:ascii="Arial" w:eastAsia="MS Mincho" w:hAnsi="Arial"/>
                <w:szCs w:val="20"/>
                <w:lang w:val="en-US"/>
              </w:rPr>
            </w:pPr>
            <w:r>
              <w:rPr>
                <w:rFonts w:ascii="Arial" w:eastAsia="MS Mincho" w:hAnsi="Arial"/>
                <w:szCs w:val="20"/>
                <w:lang w:val="en-US"/>
              </w:rPr>
              <w:t>Stoga se kao jedan od ključnih problema u oblasti zaštite potrošača identifikuje nedovoljno poznavanje prava od strane potrošača, koje postaje još izraženije u kontekstu novih, složenijih pravila, naročito u digitalnom okruženju. Ovaj problem direktno utiče na efektivnost ukupnog sistema zaštite potrošača, bez obzira na visok stepen formalne usklađenosti zakonodavstva sa standardima Evropske unije.</w:t>
            </w:r>
          </w:p>
          <w:p w:rsidR="00E40D4B" w:rsidRDefault="00E40D4B">
            <w:pPr>
              <w:rPr>
                <w:rFonts w:ascii="Arial" w:eastAsia="MS Mincho" w:hAnsi="Arial"/>
                <w:szCs w:val="20"/>
                <w:lang w:val="en-US"/>
              </w:rPr>
            </w:pPr>
          </w:p>
          <w:p w:rsidR="00E40D4B" w:rsidRDefault="00C0787B">
            <w:pPr>
              <w:rPr>
                <w:rFonts w:ascii="Arial" w:eastAsia="MS Mincho" w:hAnsi="Arial"/>
                <w:szCs w:val="20"/>
                <w:lang w:val="en-US"/>
              </w:rPr>
            </w:pPr>
            <w:r>
              <w:rPr>
                <w:rFonts w:ascii="Arial" w:eastAsia="MS Mincho" w:hAnsi="Arial"/>
                <w:szCs w:val="20"/>
                <w:lang w:val="en-US"/>
              </w:rPr>
              <w:t>U kontekstu primjene novog zakonskog okvira, kao ključni izazovi izdvajaju se:</w:t>
            </w:r>
          </w:p>
          <w:p w:rsidR="00E40D4B" w:rsidRDefault="00E40D4B">
            <w:pPr>
              <w:rPr>
                <w:rFonts w:ascii="Arial" w:eastAsia="MS Mincho" w:hAnsi="Arial"/>
                <w:szCs w:val="20"/>
                <w:lang w:val="en-US"/>
              </w:rPr>
            </w:pPr>
          </w:p>
          <w:p w:rsidR="00E40D4B" w:rsidRPr="00BC0F77" w:rsidRDefault="00C0787B" w:rsidP="00BC0F77">
            <w:pPr>
              <w:pStyle w:val="ListParagraph"/>
              <w:numPr>
                <w:ilvl w:val="0"/>
                <w:numId w:val="2"/>
              </w:numPr>
              <w:tabs>
                <w:tab w:val="left" w:pos="420"/>
              </w:tabs>
              <w:rPr>
                <w:rFonts w:ascii="Arial" w:hAnsi="Arial"/>
                <w:szCs w:val="20"/>
              </w:rPr>
            </w:pPr>
            <w:r w:rsidRPr="00BC0F77">
              <w:rPr>
                <w:rFonts w:ascii="Arial" w:hAnsi="Arial"/>
                <w:szCs w:val="20"/>
              </w:rPr>
              <w:t>nedovoljna informisanost potrošača o pravima i dostupnim mehanizmima zaštite;</w:t>
            </w:r>
          </w:p>
          <w:p w:rsidR="00E40D4B" w:rsidRPr="00BC0F77" w:rsidRDefault="00C0787B" w:rsidP="00BC0F77">
            <w:pPr>
              <w:pStyle w:val="ListParagraph"/>
              <w:numPr>
                <w:ilvl w:val="0"/>
                <w:numId w:val="2"/>
              </w:numPr>
              <w:tabs>
                <w:tab w:val="left" w:pos="420"/>
              </w:tabs>
              <w:rPr>
                <w:rFonts w:ascii="Arial" w:hAnsi="Arial"/>
                <w:szCs w:val="20"/>
              </w:rPr>
            </w:pPr>
            <w:r w:rsidRPr="00BC0F77">
              <w:rPr>
                <w:rFonts w:ascii="Arial" w:hAnsi="Arial"/>
                <w:szCs w:val="20"/>
              </w:rPr>
              <w:t>ograničeno razumijevanje novih pravila, posebno u oblasti digitalnih usluga i online trgovine;</w:t>
            </w:r>
          </w:p>
          <w:p w:rsidR="00E40D4B" w:rsidRPr="00BC0F77" w:rsidRDefault="00C0787B" w:rsidP="00BC0F77">
            <w:pPr>
              <w:pStyle w:val="ListParagraph"/>
              <w:numPr>
                <w:ilvl w:val="0"/>
                <w:numId w:val="2"/>
              </w:numPr>
              <w:tabs>
                <w:tab w:val="left" w:pos="420"/>
              </w:tabs>
              <w:rPr>
                <w:rFonts w:ascii="Arial" w:hAnsi="Arial"/>
                <w:szCs w:val="20"/>
              </w:rPr>
            </w:pPr>
            <w:r w:rsidRPr="00BC0F77">
              <w:rPr>
                <w:rFonts w:ascii="Arial" w:hAnsi="Arial"/>
                <w:szCs w:val="20"/>
              </w:rPr>
              <w:t>nedovoljno korišćenje postojećih mehanizama zaštite, uključujući vansudsko rješavanje sporova;</w:t>
            </w:r>
          </w:p>
          <w:p w:rsidR="00E40D4B" w:rsidRPr="00BC0F77" w:rsidRDefault="00C0787B" w:rsidP="00BC0F77">
            <w:pPr>
              <w:pStyle w:val="ListParagraph"/>
              <w:numPr>
                <w:ilvl w:val="0"/>
                <w:numId w:val="2"/>
              </w:numPr>
              <w:tabs>
                <w:tab w:val="left" w:pos="420"/>
              </w:tabs>
              <w:rPr>
                <w:rFonts w:ascii="Arial" w:hAnsi="Arial"/>
                <w:szCs w:val="20"/>
              </w:rPr>
            </w:pPr>
            <w:r w:rsidRPr="00BC0F77">
              <w:rPr>
                <w:rFonts w:ascii="Arial" w:hAnsi="Arial"/>
                <w:szCs w:val="20"/>
              </w:rPr>
              <w:t>otežano prepoznavanje nepoštenih poslovnih praksi;</w:t>
            </w:r>
          </w:p>
          <w:p w:rsidR="00E40D4B" w:rsidRPr="00BC0F77" w:rsidRDefault="00C0787B" w:rsidP="00BC0F77">
            <w:pPr>
              <w:pStyle w:val="ListParagraph"/>
              <w:numPr>
                <w:ilvl w:val="0"/>
                <w:numId w:val="2"/>
              </w:numPr>
              <w:tabs>
                <w:tab w:val="left" w:pos="420"/>
              </w:tabs>
              <w:rPr>
                <w:rFonts w:ascii="Arial" w:hAnsi="Arial" w:cs="Arial"/>
                <w:szCs w:val="20"/>
              </w:rPr>
            </w:pPr>
            <w:r w:rsidRPr="00BC0F77">
              <w:rPr>
                <w:rFonts w:ascii="Arial" w:hAnsi="Arial"/>
                <w:szCs w:val="20"/>
              </w:rPr>
              <w:t>izraženija ranjivost pojedinih grupa potrošača u ostvarivanju prava.</w:t>
            </w:r>
          </w:p>
          <w:p w:rsidR="00E40D4B" w:rsidRDefault="00E40D4B">
            <w:pPr>
              <w:rPr>
                <w:rFonts w:ascii="Arial" w:eastAsia="Times New Roman" w:hAnsi="Arial" w:cs="Arial"/>
                <w:szCs w:val="24"/>
                <w:lang w:val="en-US"/>
              </w:rPr>
            </w:pPr>
          </w:p>
          <w:p w:rsidR="00E40D4B" w:rsidRDefault="00C0787B">
            <w:pPr>
              <w:rPr>
                <w:rFonts w:ascii="Arial" w:eastAsia="Times New Roman" w:hAnsi="Arial"/>
                <w:szCs w:val="24"/>
              </w:rPr>
            </w:pPr>
            <w:r>
              <w:rPr>
                <w:rFonts w:ascii="Arial" w:eastAsia="Times New Roman" w:hAnsi="Arial" w:cs="Arial"/>
                <w:szCs w:val="24"/>
              </w:rPr>
              <w:lastRenderedPageBreak/>
              <w:t>2.N</w:t>
            </w:r>
            <w:r>
              <w:rPr>
                <w:rFonts w:ascii="Arial" w:eastAsia="Times New Roman" w:hAnsi="Arial"/>
                <w:szCs w:val="24"/>
              </w:rPr>
              <w:t>edovoljno razvijen sistem praćenja i evaluacije politika zaštite potrošača (nedostatak istraživanja i podataka)</w:t>
            </w:r>
          </w:p>
          <w:p w:rsidR="00E40D4B" w:rsidRDefault="00C0787B">
            <w:pPr>
              <w:rPr>
                <w:rFonts w:ascii="Arial" w:eastAsia="Times New Roman" w:hAnsi="Arial"/>
                <w:szCs w:val="24"/>
              </w:rPr>
            </w:pPr>
            <w:r>
              <w:rPr>
                <w:rFonts w:ascii="Arial" w:eastAsia="Times New Roman" w:hAnsi="Arial"/>
                <w:szCs w:val="24"/>
              </w:rPr>
              <w:t>Pored nedovoljne informisanosti potrošača, kao značajan izazov u oblasti zaštite potrošača identifikuju se i ograničeni institucionalni i operativni kapaciteti za planiranje, sprovođenje i praćenje javnih politika u ovoj oblasti. Nalazi finalne evaluacije Nacionalnog programa zaštite potrošača za period 2022–2024 ukazuju da, iako je postignut značajan napredak u unapređenju zakonodavnog okvira, implementacija pojedinih mjera nije bila u potpunosti realizovana.</w:t>
            </w:r>
          </w:p>
          <w:p w:rsidR="00E40D4B" w:rsidRDefault="00C0787B">
            <w:pPr>
              <w:rPr>
                <w:rFonts w:ascii="Arial" w:eastAsia="Times New Roman" w:hAnsi="Arial"/>
                <w:szCs w:val="24"/>
              </w:rPr>
            </w:pPr>
            <w:r>
              <w:rPr>
                <w:rFonts w:ascii="Arial" w:eastAsia="Times New Roman" w:hAnsi="Arial"/>
                <w:szCs w:val="24"/>
              </w:rPr>
              <w:t>Poseban izazov odnosi se na nedovoljno razvijen sistem praćenja učinka politika, koji se u značajnoj mjeri oslanja na istraživanja javnog mnjenja. Iako su takva istraživanja bila planirana, njihovo nesprovođenje usljed ograničenih kapaciteta nadležnih institucija dovelo je do nedostatka pouzdanih podataka o nivou informisanosti, ponašanju i potrebama potrošača.</w:t>
            </w:r>
          </w:p>
          <w:p w:rsidR="00E40D4B" w:rsidRDefault="00C0787B">
            <w:pPr>
              <w:rPr>
                <w:rFonts w:ascii="Arial" w:eastAsia="Times New Roman" w:hAnsi="Arial"/>
                <w:szCs w:val="24"/>
              </w:rPr>
            </w:pPr>
            <w:r>
              <w:rPr>
                <w:rFonts w:ascii="Arial" w:eastAsia="Times New Roman" w:hAnsi="Arial"/>
                <w:szCs w:val="24"/>
              </w:rPr>
              <w:t>Ovakav nedostatak podataka otežava:</w:t>
            </w:r>
          </w:p>
          <w:p w:rsidR="00E40D4B" w:rsidRDefault="00C0787B">
            <w:pPr>
              <w:rPr>
                <w:rFonts w:ascii="Arial" w:eastAsia="Times New Roman" w:hAnsi="Arial"/>
                <w:szCs w:val="24"/>
              </w:rPr>
            </w:pPr>
            <w:r>
              <w:rPr>
                <w:rFonts w:ascii="Arial" w:eastAsia="Times New Roman" w:hAnsi="Arial"/>
                <w:szCs w:val="24"/>
              </w:rPr>
              <w:t>adekvatno definisanje prioriteta u oblasti zaštite potrošača,</w:t>
            </w:r>
          </w:p>
          <w:p w:rsidR="00E40D4B" w:rsidRDefault="00C0787B">
            <w:pPr>
              <w:rPr>
                <w:rFonts w:ascii="Arial" w:eastAsia="Times New Roman" w:hAnsi="Arial"/>
                <w:szCs w:val="24"/>
              </w:rPr>
            </w:pPr>
            <w:r>
              <w:rPr>
                <w:rFonts w:ascii="Arial" w:eastAsia="Times New Roman" w:hAnsi="Arial"/>
                <w:szCs w:val="24"/>
              </w:rPr>
              <w:t>mjerenje efekata sprovedenih mjera i politika,</w:t>
            </w:r>
          </w:p>
          <w:p w:rsidR="00E40D4B" w:rsidRDefault="00C0787B">
            <w:pPr>
              <w:rPr>
                <w:rFonts w:ascii="Arial" w:eastAsia="Times New Roman" w:hAnsi="Arial"/>
                <w:szCs w:val="24"/>
              </w:rPr>
            </w:pPr>
            <w:r>
              <w:rPr>
                <w:rFonts w:ascii="Arial" w:eastAsia="Times New Roman" w:hAnsi="Arial"/>
                <w:szCs w:val="24"/>
              </w:rPr>
              <w:t>pravovremeno prilagođavanje programa stvarnim potrebama građana.</w:t>
            </w:r>
          </w:p>
          <w:p w:rsidR="00E40D4B" w:rsidRDefault="00C0787B">
            <w:pPr>
              <w:rPr>
                <w:rFonts w:ascii="Arial" w:eastAsia="Times New Roman" w:hAnsi="Arial"/>
                <w:szCs w:val="24"/>
              </w:rPr>
            </w:pPr>
            <w:r>
              <w:rPr>
                <w:rFonts w:ascii="Arial" w:eastAsia="Times New Roman" w:hAnsi="Arial"/>
                <w:szCs w:val="24"/>
              </w:rPr>
              <w:t>Dodatno, evaluacija ukazuje i na šire izazove koji utiču na efektivnost sistema, uključujući:</w:t>
            </w:r>
          </w:p>
          <w:p w:rsidR="00E40D4B" w:rsidRDefault="00C0787B">
            <w:pPr>
              <w:rPr>
                <w:rFonts w:ascii="Arial" w:eastAsia="Times New Roman" w:hAnsi="Arial"/>
                <w:szCs w:val="24"/>
              </w:rPr>
            </w:pPr>
            <w:r>
              <w:rPr>
                <w:rFonts w:ascii="Arial" w:eastAsia="Times New Roman" w:hAnsi="Arial"/>
                <w:szCs w:val="24"/>
              </w:rPr>
              <w:t>- ograničene kapacitete lokalne administracije za sprovođenje aktivnosti,</w:t>
            </w:r>
          </w:p>
          <w:p w:rsidR="00E40D4B" w:rsidRDefault="00C0787B">
            <w:pPr>
              <w:rPr>
                <w:rFonts w:ascii="Arial" w:eastAsia="Times New Roman" w:hAnsi="Arial"/>
                <w:szCs w:val="24"/>
              </w:rPr>
            </w:pPr>
            <w:r>
              <w:rPr>
                <w:rFonts w:ascii="Arial" w:eastAsia="Times New Roman" w:hAnsi="Arial"/>
                <w:szCs w:val="24"/>
              </w:rPr>
              <w:t>- nedovoljnu realizaciju edukativnih i informativnih aktivnosti,</w:t>
            </w:r>
          </w:p>
          <w:p w:rsidR="00E40D4B" w:rsidRDefault="00C0787B">
            <w:pPr>
              <w:rPr>
                <w:rFonts w:ascii="Arial" w:eastAsia="Times New Roman" w:hAnsi="Arial"/>
                <w:szCs w:val="24"/>
              </w:rPr>
            </w:pPr>
            <w:r>
              <w:rPr>
                <w:rFonts w:ascii="Arial" w:eastAsia="Times New Roman" w:hAnsi="Arial"/>
                <w:szCs w:val="24"/>
              </w:rPr>
              <w:t>- administrativnu nestabilnost i ograničena finansijska sredstva,</w:t>
            </w:r>
          </w:p>
          <w:p w:rsidR="00E40D4B" w:rsidRDefault="00C0787B">
            <w:pPr>
              <w:rPr>
                <w:rFonts w:ascii="Arial" w:eastAsia="Times New Roman" w:hAnsi="Arial"/>
                <w:szCs w:val="24"/>
              </w:rPr>
            </w:pPr>
            <w:r>
              <w:rPr>
                <w:rFonts w:ascii="Arial" w:eastAsia="Times New Roman" w:hAnsi="Arial"/>
                <w:szCs w:val="24"/>
              </w:rPr>
              <w:t>- nedovoljno razvijenu komunikaciju i koordinaciju između relevantnih aktera.</w:t>
            </w:r>
          </w:p>
          <w:p w:rsidR="00E40D4B" w:rsidRDefault="00C0787B">
            <w:pPr>
              <w:rPr>
                <w:rFonts w:ascii="Arial" w:eastAsia="Times New Roman" w:hAnsi="Arial"/>
                <w:szCs w:val="24"/>
              </w:rPr>
            </w:pPr>
            <w:r>
              <w:rPr>
                <w:rFonts w:ascii="Arial" w:eastAsia="Times New Roman" w:hAnsi="Arial"/>
                <w:szCs w:val="24"/>
              </w:rPr>
              <w:t>U tom kontekstu, nedostatak sistematskog prikupljanja i analize podataka, zajedno sa ograničenim institucionalnim kapacitetima, predstavlja važan strukturni problem koji utiče na ukupnu efikasnost politike zaštite potrošača i njenu usmjerenost ka stvarnim potrebama korisnika.</w:t>
            </w:r>
          </w:p>
          <w:p w:rsidR="00E40D4B" w:rsidRDefault="00C0787B">
            <w:pPr>
              <w:rPr>
                <w:rFonts w:ascii="Arial" w:eastAsia="Times New Roman" w:hAnsi="Arial" w:cs="Arial"/>
                <w:szCs w:val="24"/>
                <w:lang w:val="en-US"/>
              </w:rPr>
            </w:pPr>
            <w:r>
              <w:rPr>
                <w:rFonts w:ascii="Arial" w:eastAsia="Times New Roman" w:hAnsi="Arial" w:cs="Arial"/>
                <w:szCs w:val="24"/>
              </w:rPr>
              <w:t>3</w:t>
            </w:r>
            <w:r>
              <w:rPr>
                <w:rFonts w:ascii="Arial" w:eastAsia="Times New Roman" w:hAnsi="Arial" w:cs="Arial"/>
                <w:szCs w:val="24"/>
                <w:lang w:val="en-US"/>
              </w:rPr>
              <w:t>.Nepostojanje savjetovališta za zaštitu potrošača u jedinicama lokalne samouprave</w:t>
            </w:r>
          </w:p>
          <w:p w:rsidR="00E40D4B" w:rsidRDefault="00C0787B">
            <w:pPr>
              <w:rPr>
                <w:rFonts w:ascii="Arial" w:eastAsia="Times New Roman" w:hAnsi="Arial"/>
                <w:szCs w:val="24"/>
                <w:lang w:val="en-US"/>
              </w:rPr>
            </w:pPr>
            <w:r>
              <w:rPr>
                <w:rFonts w:ascii="Arial" w:eastAsia="Times New Roman" w:hAnsi="Arial"/>
                <w:szCs w:val="24"/>
                <w:lang w:val="en-US"/>
              </w:rPr>
              <w:lastRenderedPageBreak/>
              <w:t>Pored izazova koji se odnose na informisanost potrošača i ograničene kapacitete za praćenje i sprovođenje politika, kao značajan problem u oblasti zaštite potrošača prepoznaje se nedovoljno razvijena lokalna infrastruktura za pružanje podrške potrošačima, uključujući izostanak funkcionalnih savjetovališta za zaštitu potrošača na lokalnom nivou.</w:t>
            </w:r>
          </w:p>
          <w:p w:rsidR="00E40D4B" w:rsidRDefault="00C0787B">
            <w:pPr>
              <w:rPr>
                <w:rFonts w:ascii="Arial" w:eastAsia="Times New Roman" w:hAnsi="Arial"/>
                <w:szCs w:val="24"/>
                <w:lang w:val="en-US"/>
              </w:rPr>
            </w:pPr>
            <w:r>
              <w:rPr>
                <w:rFonts w:ascii="Arial" w:eastAsia="Times New Roman" w:hAnsi="Arial"/>
                <w:szCs w:val="24"/>
                <w:lang w:val="en-US"/>
              </w:rPr>
              <w:t xml:space="preserve">U cilju unapređenja sistema zaštite potrošača, Vlada Crne Gore formirala je Savjet za zaštitu potrošača kao tijelo nadležno za praćenje i unapređenje politike u ovoj oblasti. </w:t>
            </w:r>
          </w:p>
          <w:p w:rsidR="00E40D4B" w:rsidRDefault="00C0787B">
            <w:pPr>
              <w:rPr>
                <w:rFonts w:ascii="Arial" w:eastAsia="Times New Roman" w:hAnsi="Arial"/>
                <w:szCs w:val="24"/>
                <w:lang w:val="en-US"/>
              </w:rPr>
            </w:pPr>
            <w:r>
              <w:rPr>
                <w:rFonts w:ascii="Arial" w:eastAsia="Times New Roman" w:hAnsi="Arial"/>
                <w:szCs w:val="24"/>
                <w:lang w:val="en-US"/>
              </w:rPr>
              <w:t>Poseban izazov odnosi se na ulogu jedinica lokalne samouprave, čije učešće u sistemu zaštite potrošača nije dovoljno razvijeno. Iako su njihove obaveze jasno definisane, naročito kroz član 223 Zakona o zaštiti potrošača, praksa ukazuje na ograničen nivo njihove primjene i nedovoljnu operacionalizaciju na lokalnom nivou.</w:t>
            </w:r>
          </w:p>
          <w:p w:rsidR="00E40D4B" w:rsidRDefault="00C0787B">
            <w:pPr>
              <w:rPr>
                <w:rFonts w:ascii="Arial" w:eastAsia="Times New Roman" w:hAnsi="Arial"/>
                <w:szCs w:val="24"/>
                <w:lang w:val="en-US"/>
              </w:rPr>
            </w:pPr>
            <w:r>
              <w:rPr>
                <w:rFonts w:ascii="Arial" w:eastAsia="Times New Roman" w:hAnsi="Arial"/>
                <w:szCs w:val="24"/>
                <w:lang w:val="en-US"/>
              </w:rPr>
              <w:t>Potreba za snažnijim uključivanjem lokalnog nivoa dodatno je naglašena kroz inicijativu Savjeta za formiranje radne grupe za reviziju Plana aktivnosti za podizanje nivoa zaštite potrošača u jedinicama lokalne samouprave iz 2016. godine. Planirano je da ovaj proces rezultira novim dokumentom koji će preciznije definisati mjere, odgovornosti i način sprovođenja aktivnosti, u skladu sa aktuelnim izazovima i zahtjevima pregovaračkog procesa.</w:t>
            </w:r>
          </w:p>
          <w:p w:rsidR="00E40D4B" w:rsidRDefault="00C0787B">
            <w:pPr>
              <w:rPr>
                <w:rFonts w:ascii="Arial" w:eastAsia="Times New Roman" w:hAnsi="Arial"/>
                <w:szCs w:val="24"/>
                <w:lang w:val="en-US"/>
              </w:rPr>
            </w:pPr>
            <w:r>
              <w:rPr>
                <w:rFonts w:ascii="Arial" w:eastAsia="Times New Roman" w:hAnsi="Arial"/>
                <w:szCs w:val="24"/>
                <w:lang w:val="en-US"/>
              </w:rPr>
              <w:t>Istovremeno, na lokalnom nivou nijesu razvijeni mehanizmi neposredne podrške potrošačima, kao što su savjetovališta za zaštitu potrošača. Odsustvo ovakvih servisa ograničava pristup građana informacijama, savjetima i pravnoj pomoći, posebno u situacijama koje zahtijevaju brzu i praktičnu zaštitu prava.</w:t>
            </w:r>
          </w:p>
          <w:p w:rsidR="00E40D4B" w:rsidRDefault="00C0787B">
            <w:pPr>
              <w:rPr>
                <w:rFonts w:ascii="Arial" w:eastAsia="Times New Roman" w:hAnsi="Arial"/>
                <w:szCs w:val="24"/>
                <w:lang w:val="en-US"/>
              </w:rPr>
            </w:pPr>
            <w:r>
              <w:rPr>
                <w:rFonts w:ascii="Arial" w:eastAsia="Times New Roman" w:hAnsi="Arial"/>
                <w:szCs w:val="24"/>
                <w:lang w:val="en-US"/>
              </w:rPr>
              <w:t>Ovakvo stanje utiče na ukupnu dostupnost sistema zaštite potrošača i njegovu funkcionalnost u praksi, naročito iz perspektive krajnjih korisnika.</w:t>
            </w:r>
          </w:p>
          <w:p w:rsidR="00E40D4B" w:rsidRDefault="00C0787B">
            <w:pPr>
              <w:rPr>
                <w:rFonts w:ascii="Arial" w:eastAsia="Times New Roman" w:hAnsi="Arial"/>
                <w:szCs w:val="24"/>
                <w:lang w:val="en-US"/>
              </w:rPr>
            </w:pPr>
            <w:r>
              <w:rPr>
                <w:rFonts w:ascii="Arial" w:eastAsia="Times New Roman" w:hAnsi="Arial"/>
                <w:szCs w:val="24"/>
                <w:lang w:val="en-US"/>
              </w:rPr>
              <w:t>Kao ključni izazovi izdvajaju se:</w:t>
            </w:r>
          </w:p>
          <w:p w:rsidR="00E40D4B" w:rsidRDefault="00C0787B">
            <w:pPr>
              <w:rPr>
                <w:rFonts w:ascii="Arial" w:eastAsia="Times New Roman" w:hAnsi="Arial"/>
                <w:szCs w:val="24"/>
                <w:lang w:val="en-US"/>
              </w:rPr>
            </w:pPr>
            <w:r>
              <w:rPr>
                <w:rFonts w:ascii="Arial" w:eastAsia="Times New Roman" w:hAnsi="Arial"/>
                <w:szCs w:val="24"/>
              </w:rPr>
              <w:t xml:space="preserve">- </w:t>
            </w:r>
            <w:r>
              <w:rPr>
                <w:rFonts w:ascii="Arial" w:eastAsia="Times New Roman" w:hAnsi="Arial"/>
                <w:szCs w:val="24"/>
                <w:lang w:val="en-US"/>
              </w:rPr>
              <w:t>nedovoljno uključivanje jedinica lokalne samouprave u sistem zaštite potrošača;</w:t>
            </w:r>
          </w:p>
          <w:p w:rsidR="00E40D4B" w:rsidRDefault="00C0787B">
            <w:pPr>
              <w:rPr>
                <w:rFonts w:ascii="Arial" w:eastAsia="Times New Roman" w:hAnsi="Arial"/>
                <w:szCs w:val="24"/>
                <w:lang w:val="en-US"/>
              </w:rPr>
            </w:pPr>
            <w:r>
              <w:rPr>
                <w:rFonts w:ascii="Arial" w:eastAsia="Times New Roman" w:hAnsi="Arial"/>
                <w:szCs w:val="24"/>
              </w:rPr>
              <w:t xml:space="preserve">- </w:t>
            </w:r>
            <w:r>
              <w:rPr>
                <w:rFonts w:ascii="Arial" w:eastAsia="Times New Roman" w:hAnsi="Arial"/>
                <w:szCs w:val="24"/>
                <w:lang w:val="en-US"/>
              </w:rPr>
              <w:t>nepostojanje ili nedovoljna razvijenost savjetovališta za zaštitu potrošača;</w:t>
            </w:r>
          </w:p>
          <w:p w:rsidR="00E40D4B" w:rsidRDefault="00C0787B">
            <w:pPr>
              <w:rPr>
                <w:rFonts w:ascii="Arial" w:eastAsia="Times New Roman" w:hAnsi="Arial"/>
                <w:szCs w:val="24"/>
                <w:lang w:val="en-US"/>
              </w:rPr>
            </w:pPr>
            <w:r>
              <w:rPr>
                <w:rFonts w:ascii="Arial" w:eastAsia="Times New Roman" w:hAnsi="Arial"/>
                <w:szCs w:val="24"/>
              </w:rPr>
              <w:t xml:space="preserve">- </w:t>
            </w:r>
            <w:r>
              <w:rPr>
                <w:rFonts w:ascii="Arial" w:eastAsia="Times New Roman" w:hAnsi="Arial"/>
                <w:szCs w:val="24"/>
                <w:lang w:val="en-US"/>
              </w:rPr>
              <w:t>ograničena dostupnost informacija i podrške građanima na lokalnom nivou;</w:t>
            </w:r>
          </w:p>
          <w:p w:rsidR="00E40D4B" w:rsidRDefault="00C0787B">
            <w:pPr>
              <w:rPr>
                <w:rFonts w:ascii="Arial" w:eastAsia="Times New Roman" w:hAnsi="Arial"/>
                <w:szCs w:val="24"/>
                <w:lang w:val="en-US"/>
              </w:rPr>
            </w:pPr>
            <w:r>
              <w:rPr>
                <w:rFonts w:ascii="Arial" w:eastAsia="Times New Roman" w:hAnsi="Arial"/>
                <w:szCs w:val="24"/>
              </w:rPr>
              <w:t xml:space="preserve">- </w:t>
            </w:r>
            <w:r>
              <w:rPr>
                <w:rFonts w:ascii="Arial" w:eastAsia="Times New Roman" w:hAnsi="Arial"/>
                <w:szCs w:val="24"/>
                <w:lang w:val="en-US"/>
              </w:rPr>
              <w:t>nedovoljna primjena i operacionalizacija zakonskih obaveza na lokalnom nivou.</w:t>
            </w:r>
          </w:p>
        </w:tc>
      </w:tr>
      <w:tr w:rsidR="00E40D4B">
        <w:tc>
          <w:tcPr>
            <w:tcW w:w="6884" w:type="dxa"/>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Izvor(i) podataka</w:t>
            </w:r>
          </w:p>
        </w:tc>
      </w:tr>
      <w:tr w:rsidR="00E40D4B">
        <w:tc>
          <w:tcPr>
            <w:tcW w:w="6884" w:type="dxa"/>
            <w:tcMar>
              <w:top w:w="57" w:type="dxa"/>
              <w:bottom w:w="57" w:type="dxa"/>
            </w:tcMar>
          </w:tcPr>
          <w:p w:rsidR="00E40D4B" w:rsidRDefault="00C0787B">
            <w:pPr>
              <w:pStyle w:val="ListParagraph"/>
              <w:numPr>
                <w:ilvl w:val="0"/>
                <w:numId w:val="4"/>
              </w:numPr>
              <w:rPr>
                <w:rFonts w:ascii="Arial" w:hAnsi="Arial" w:cs="Arial"/>
                <w:szCs w:val="20"/>
              </w:rPr>
            </w:pPr>
            <w:r>
              <w:rPr>
                <w:rFonts w:ascii="Arial" w:hAnsi="Arial" w:cs="Arial"/>
                <w:szCs w:val="20"/>
              </w:rPr>
              <w:t>Zakon o za</w:t>
            </w:r>
            <w:r>
              <w:rPr>
                <w:rFonts w:ascii="Arial" w:hAnsi="Arial" w:cs="Arial"/>
                <w:szCs w:val="20"/>
                <w:lang w:val="sr-Latn-ME"/>
              </w:rPr>
              <w:t>štiti potrošača</w:t>
            </w:r>
          </w:p>
          <w:p w:rsidR="00E40D4B" w:rsidRDefault="00E40D4B">
            <w:pPr>
              <w:pStyle w:val="ListParagraph"/>
              <w:rPr>
                <w:rFonts w:ascii="Arial" w:hAnsi="Arial" w:cs="Arial"/>
                <w:szCs w:val="20"/>
              </w:rPr>
            </w:pPr>
          </w:p>
          <w:p w:rsidR="00E40D4B" w:rsidRDefault="00C0787B">
            <w:pPr>
              <w:pStyle w:val="ListParagraph"/>
              <w:numPr>
                <w:ilvl w:val="0"/>
                <w:numId w:val="4"/>
              </w:numPr>
              <w:rPr>
                <w:rFonts w:ascii="Arial" w:hAnsi="Arial" w:cs="Arial"/>
                <w:szCs w:val="20"/>
              </w:rPr>
            </w:pPr>
            <w:r>
              <w:rPr>
                <w:rFonts w:ascii="Arial" w:hAnsi="Arial" w:cs="Arial"/>
                <w:szCs w:val="20"/>
              </w:rPr>
              <w:t>Završni izvještaj o realizaciji Nacionalnog programa zaštite potrošača 2022-2024. godina</w:t>
            </w:r>
          </w:p>
          <w:p w:rsidR="00E40D4B" w:rsidRDefault="00E40D4B">
            <w:pPr>
              <w:pStyle w:val="ListParagraph"/>
              <w:rPr>
                <w:rFonts w:ascii="Arial" w:hAnsi="Arial" w:cs="Arial"/>
                <w:szCs w:val="20"/>
              </w:rPr>
            </w:pPr>
          </w:p>
          <w:p w:rsidR="00E40D4B" w:rsidRDefault="00C0787B">
            <w:pPr>
              <w:pStyle w:val="ListParagraph"/>
              <w:numPr>
                <w:ilvl w:val="0"/>
                <w:numId w:val="4"/>
              </w:numPr>
              <w:rPr>
                <w:rFonts w:ascii="Arial" w:hAnsi="Arial" w:cs="Arial"/>
                <w:szCs w:val="20"/>
              </w:rPr>
            </w:pPr>
            <w:r>
              <w:rPr>
                <w:rFonts w:ascii="Arial" w:hAnsi="Arial" w:cs="Arial"/>
                <w:szCs w:val="20"/>
              </w:rPr>
              <w:t xml:space="preserve">Nacionalni program zaštite potrošača 2025-2027, sa Akcionim planom za realizaciju Nacionalnog programa zaštite potrošača za 2025. godinu </w:t>
            </w:r>
          </w:p>
        </w:tc>
        <w:tc>
          <w:tcPr>
            <w:tcW w:w="6862" w:type="dxa"/>
            <w:tcMar>
              <w:top w:w="57" w:type="dxa"/>
              <w:bottom w:w="57" w:type="dxa"/>
            </w:tcMar>
          </w:tcPr>
          <w:p w:rsidR="00E40D4B" w:rsidRDefault="00C0787B">
            <w:pPr>
              <w:pStyle w:val="ListParagraph"/>
              <w:numPr>
                <w:ilvl w:val="0"/>
                <w:numId w:val="5"/>
              </w:numPr>
              <w:rPr>
                <w:rFonts w:ascii="Arial" w:hAnsi="Arial" w:cs="Arial"/>
                <w:szCs w:val="20"/>
              </w:rPr>
            </w:pPr>
            <w:r>
              <w:t xml:space="preserve">("Službeni list CG", br. 12/2026) </w:t>
            </w:r>
          </w:p>
          <w:p w:rsidR="00E40D4B" w:rsidRDefault="00E40D4B">
            <w:pPr>
              <w:pStyle w:val="ListParagraph"/>
              <w:rPr>
                <w:rFonts w:ascii="Arial" w:hAnsi="Arial" w:cs="Arial"/>
                <w:szCs w:val="20"/>
              </w:rPr>
            </w:pPr>
          </w:p>
          <w:p w:rsidR="00E40D4B" w:rsidRDefault="00265841">
            <w:pPr>
              <w:pStyle w:val="ListParagraph"/>
              <w:numPr>
                <w:ilvl w:val="0"/>
                <w:numId w:val="5"/>
              </w:numPr>
              <w:rPr>
                <w:rFonts w:ascii="Arial" w:hAnsi="Arial" w:cs="Arial"/>
                <w:szCs w:val="20"/>
              </w:rPr>
            </w:pPr>
            <w:hyperlink r:id="rId9" w:history="1">
              <w:r w:rsidR="00C0787B">
                <w:rPr>
                  <w:rStyle w:val="Hyperlink"/>
                  <w:szCs w:val="20"/>
                </w:rPr>
                <w:t>https://www.gov.me/dokumenta/7d0c4305-e41b-47b9-80e1-88be8ddf24d1</w:t>
              </w:r>
            </w:hyperlink>
          </w:p>
          <w:p w:rsidR="00E40D4B" w:rsidRDefault="00E40D4B">
            <w:pPr>
              <w:pStyle w:val="ListParagraph"/>
              <w:rPr>
                <w:rFonts w:ascii="Arial" w:hAnsi="Arial" w:cs="Arial"/>
                <w:szCs w:val="20"/>
              </w:rPr>
            </w:pPr>
          </w:p>
          <w:p w:rsidR="00E40D4B" w:rsidRDefault="00265841">
            <w:pPr>
              <w:pStyle w:val="ListParagraph"/>
              <w:numPr>
                <w:ilvl w:val="0"/>
                <w:numId w:val="5"/>
              </w:numPr>
              <w:rPr>
                <w:rFonts w:ascii="Arial" w:hAnsi="Arial" w:cs="Arial"/>
                <w:szCs w:val="20"/>
              </w:rPr>
            </w:pPr>
            <w:hyperlink r:id="rId10" w:tgtFrame="_blank" w:history="1">
              <w:r w:rsidR="00C0787B">
                <w:rPr>
                  <w:rStyle w:val="Hyperlink"/>
                  <w:rFonts w:ascii="Arial" w:hAnsi="Arial" w:cs="Arial"/>
                  <w:szCs w:val="20"/>
                </w:rPr>
                <w:t>https://share.google/gtBJlIb2c7g3dWMrx</w:t>
              </w:r>
            </w:hyperlink>
          </w:p>
          <w:p w:rsidR="00E40D4B" w:rsidRDefault="00E40D4B">
            <w:pPr>
              <w:pStyle w:val="ListParagraph"/>
              <w:rPr>
                <w:rFonts w:ascii="Arial" w:hAnsi="Arial" w:cs="Arial"/>
                <w:szCs w:val="20"/>
              </w:rPr>
            </w:pPr>
          </w:p>
          <w:p w:rsidR="00E40D4B" w:rsidRDefault="00E40D4B">
            <w:pPr>
              <w:pStyle w:val="ListParagraph"/>
              <w:rPr>
                <w:rFonts w:ascii="Arial" w:hAnsi="Arial" w:cs="Arial"/>
                <w:szCs w:val="20"/>
              </w:rPr>
            </w:pPr>
          </w:p>
          <w:p w:rsidR="00E40D4B" w:rsidRDefault="00E40D4B">
            <w:pPr>
              <w:pStyle w:val="ListParagraph"/>
              <w:rPr>
                <w:rFonts w:ascii="Arial" w:hAnsi="Arial" w:cs="Arial"/>
                <w:szCs w:val="20"/>
              </w:rPr>
            </w:pPr>
          </w:p>
          <w:p w:rsidR="00E40D4B" w:rsidRDefault="00E40D4B">
            <w:pPr>
              <w:rPr>
                <w:rFonts w:ascii="Arial" w:eastAsia="MS Mincho" w:hAnsi="Arial" w:cs="Arial"/>
                <w:szCs w:val="20"/>
                <w:lang w:val="en-US"/>
              </w:rPr>
            </w:pPr>
          </w:p>
          <w:p w:rsidR="00E40D4B" w:rsidRDefault="00E40D4B">
            <w:pPr>
              <w:pStyle w:val="ListParagraph"/>
              <w:rPr>
                <w:rFonts w:ascii="Arial" w:hAnsi="Arial" w:cs="Arial"/>
              </w:rPr>
            </w:pPr>
          </w:p>
        </w:tc>
      </w:tr>
    </w:tbl>
    <w:p w:rsidR="00E40D4B" w:rsidRDefault="00E40D4B">
      <w:pPr>
        <w:rPr>
          <w:rFonts w:ascii="Arial" w:hAnsi="Arial" w:cs="Arial"/>
        </w:rPr>
      </w:pPr>
    </w:p>
    <w:p w:rsidR="00E40D4B" w:rsidRDefault="00E40D4B">
      <w:pPr>
        <w:rPr>
          <w:rFonts w:ascii="Arial" w:hAnsi="Arial" w:cs="Arial"/>
        </w:rPr>
      </w:pPr>
    </w:p>
    <w:p w:rsidR="00E40D4B" w:rsidRDefault="00C0787B">
      <w:pPr>
        <w:pStyle w:val="ListParagraph"/>
        <w:jc w:val="both"/>
        <w:rPr>
          <w:rFonts w:ascii="Arial" w:hAnsi="Arial" w:cs="Arial"/>
          <w:lang w:val="sr-Latn-ME"/>
        </w:rPr>
      </w:pPr>
      <w:r>
        <w:rPr>
          <w:rFonts w:ascii="Arial" w:hAnsi="Arial" w:cs="Arial"/>
          <w:lang w:val="sr-Latn-ME"/>
        </w:rPr>
        <w:t>2.2.Navesti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E40D4B">
        <w:tc>
          <w:tcPr>
            <w:tcW w:w="6884"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Naziv poglavlja/ mjere/ aktivnosti</w:t>
            </w:r>
          </w:p>
        </w:tc>
      </w:tr>
      <w:tr w:rsidR="00E40D4B">
        <w:tc>
          <w:tcPr>
            <w:tcW w:w="6884" w:type="dxa"/>
            <w:tcMar>
              <w:top w:w="57" w:type="dxa"/>
              <w:bottom w:w="57" w:type="dxa"/>
            </w:tcMar>
          </w:tcPr>
          <w:p w:rsidR="00E40D4B" w:rsidRPr="00103382" w:rsidRDefault="00103382" w:rsidP="00103382">
            <w:pPr>
              <w:rPr>
                <w:rFonts w:ascii="Arial" w:hAnsi="Arial" w:cs="Arial"/>
                <w:szCs w:val="20"/>
              </w:rPr>
            </w:pPr>
            <w:r>
              <w:rPr>
                <w:rFonts w:ascii="Arial" w:hAnsi="Arial"/>
                <w:szCs w:val="20"/>
              </w:rPr>
              <w:t>1.</w:t>
            </w:r>
            <w:r w:rsidR="00C0787B" w:rsidRPr="00103382">
              <w:rPr>
                <w:rFonts w:ascii="Arial" w:hAnsi="Arial"/>
                <w:szCs w:val="20"/>
              </w:rPr>
              <w:t xml:space="preserve">Nacionalni program zaštite potrošača 2025-2027, sa Akcionim planom za realizaciju Nacionalnog programa zaštite potrošača za 2025. godinu </w:t>
            </w:r>
          </w:p>
          <w:p w:rsidR="00E40D4B" w:rsidRDefault="00E40D4B">
            <w:pPr>
              <w:pStyle w:val="ListParagraph"/>
              <w:jc w:val="both"/>
              <w:rPr>
                <w:rFonts w:ascii="Arial" w:hAnsi="Arial" w:cs="Arial"/>
                <w:szCs w:val="20"/>
              </w:rPr>
            </w:pPr>
          </w:p>
          <w:p w:rsidR="00E40D4B" w:rsidRDefault="00E40D4B">
            <w:pPr>
              <w:pStyle w:val="ListParagraph"/>
              <w:ind w:left="360"/>
              <w:rPr>
                <w:rFonts w:ascii="Arial" w:hAnsi="Arial" w:cs="Arial"/>
                <w:szCs w:val="20"/>
              </w:rPr>
            </w:pPr>
          </w:p>
        </w:tc>
        <w:tc>
          <w:tcPr>
            <w:tcW w:w="6862" w:type="dxa"/>
            <w:tcMar>
              <w:top w:w="57" w:type="dxa"/>
              <w:bottom w:w="57" w:type="dxa"/>
            </w:tcMar>
          </w:tcPr>
          <w:p w:rsidR="00103382" w:rsidRPr="00103382" w:rsidRDefault="00103382" w:rsidP="00103382">
            <w:pPr>
              <w:rPr>
                <w:rFonts w:ascii="Arial" w:eastAsia="MS Mincho" w:hAnsi="Arial" w:cs="Arial"/>
                <w:szCs w:val="20"/>
              </w:rPr>
            </w:pPr>
            <w:r>
              <w:rPr>
                <w:rFonts w:ascii="Arial" w:eastAsia="MS Mincho" w:hAnsi="Arial" w:cs="Arial"/>
                <w:szCs w:val="20"/>
              </w:rPr>
              <w:lastRenderedPageBreak/>
              <w:t>(SC)</w:t>
            </w:r>
            <w:r w:rsidRPr="00103382">
              <w:rPr>
                <w:rFonts w:ascii="Arial" w:eastAsia="MS Mincho" w:hAnsi="Arial" w:cs="Arial"/>
                <w:szCs w:val="20"/>
              </w:rPr>
              <w:t xml:space="preserve"> Jačanje zaštite potrošača u Crnoj Gori kroz unapređenje tržišnog nadzora, međuinstitucionalne saradnje i bezbjednosti proizvoda, uz poštovanje principa rodne ravnopravnosti i zaštite životne sredine i sljedeći operativni ciljevi:</w:t>
            </w:r>
          </w:p>
          <w:p w:rsidR="00103382" w:rsidRPr="00103382" w:rsidRDefault="00103382" w:rsidP="00103382">
            <w:pPr>
              <w:rPr>
                <w:rFonts w:ascii="Arial" w:eastAsia="MS Mincho" w:hAnsi="Arial" w:cs="Arial"/>
                <w:szCs w:val="20"/>
              </w:rPr>
            </w:pPr>
          </w:p>
          <w:p w:rsidR="00103382" w:rsidRPr="00103382" w:rsidRDefault="00103382" w:rsidP="00103382">
            <w:pPr>
              <w:rPr>
                <w:rFonts w:ascii="Arial" w:eastAsia="MS Mincho" w:hAnsi="Arial" w:cs="Arial"/>
                <w:szCs w:val="20"/>
              </w:rPr>
            </w:pPr>
            <w:r>
              <w:rPr>
                <w:rFonts w:ascii="Arial" w:eastAsia="MS Mincho" w:hAnsi="Arial" w:cs="Arial"/>
                <w:szCs w:val="20"/>
              </w:rPr>
              <w:t xml:space="preserve">(OC1) </w:t>
            </w:r>
            <w:r w:rsidRPr="00103382">
              <w:rPr>
                <w:rFonts w:ascii="Arial" w:eastAsia="MS Mincho" w:hAnsi="Arial" w:cs="Arial"/>
                <w:szCs w:val="20"/>
              </w:rPr>
              <w:t xml:space="preserve">Osigurano povjerenje i veća zaštita potrošačkih prava kroz izmjene potrošačkog zakonodavstva u skladu sa praksama EU </w:t>
            </w:r>
          </w:p>
          <w:p w:rsidR="00103382" w:rsidRPr="00103382" w:rsidRDefault="00103382" w:rsidP="00103382">
            <w:pPr>
              <w:rPr>
                <w:rFonts w:ascii="Arial" w:eastAsia="MS Mincho" w:hAnsi="Arial" w:cs="Arial"/>
                <w:szCs w:val="20"/>
              </w:rPr>
            </w:pPr>
            <w:r>
              <w:rPr>
                <w:rFonts w:ascii="Arial" w:eastAsia="MS Mincho" w:hAnsi="Arial" w:cs="Arial"/>
                <w:szCs w:val="20"/>
              </w:rPr>
              <w:t xml:space="preserve">(OC2) </w:t>
            </w:r>
            <w:r w:rsidRPr="00103382">
              <w:rPr>
                <w:rFonts w:ascii="Arial" w:eastAsia="MS Mincho" w:hAnsi="Arial" w:cs="Arial"/>
                <w:szCs w:val="20"/>
              </w:rPr>
              <w:t xml:space="preserve">Obezbijeđena zadovoljavajuća informisanost potrošača/ica i trgovaca o njihovim pravima i obavezama </w:t>
            </w:r>
          </w:p>
          <w:p w:rsidR="00E40D4B" w:rsidRDefault="00103382" w:rsidP="00103382">
            <w:pPr>
              <w:rPr>
                <w:rFonts w:ascii="Arial" w:eastAsia="MS Mincho" w:hAnsi="Arial" w:cs="Arial"/>
                <w:szCs w:val="20"/>
              </w:rPr>
            </w:pPr>
            <w:r>
              <w:rPr>
                <w:rFonts w:ascii="Arial" w:eastAsia="MS Mincho" w:hAnsi="Arial" w:cs="Arial"/>
                <w:szCs w:val="20"/>
              </w:rPr>
              <w:t xml:space="preserve">(OC3) </w:t>
            </w:r>
            <w:r w:rsidRPr="00103382">
              <w:rPr>
                <w:rFonts w:ascii="Arial" w:eastAsia="MS Mincho" w:hAnsi="Arial" w:cs="Arial"/>
                <w:szCs w:val="20"/>
              </w:rPr>
              <w:t>Podsticanje lokalnih zajednica na veći angažman i aktivnosti u oblasti zaštite potrošača/ica</w:t>
            </w:r>
          </w:p>
        </w:tc>
      </w:tr>
    </w:tbl>
    <w:p w:rsidR="00E40D4B" w:rsidRDefault="00E40D4B">
      <w:pPr>
        <w:pStyle w:val="ListParagraph"/>
        <w:jc w:val="both"/>
        <w:rPr>
          <w:rFonts w:ascii="Arial" w:hAnsi="Arial" w:cs="Arial"/>
          <w:lang w:val="sr-Latn-ME"/>
        </w:rPr>
      </w:pPr>
    </w:p>
    <w:p w:rsidR="00E40D4B" w:rsidRDefault="00C0787B">
      <w:pPr>
        <w:pStyle w:val="ListParagraph"/>
        <w:jc w:val="both"/>
        <w:rPr>
          <w:rFonts w:ascii="Arial" w:hAnsi="Arial" w:cs="Arial"/>
          <w:lang w:val="sr-Latn-ME"/>
        </w:rPr>
      </w:pPr>
      <w:r>
        <w:rPr>
          <w:rFonts w:ascii="Arial" w:hAnsi="Arial" w:cs="Arial"/>
          <w:lang w:val="sr-Latn-ME"/>
        </w:rPr>
        <w:t>2.3.Obrazložiiti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229" w:type="dxa"/>
        <w:tblInd w:w="792" w:type="dxa"/>
        <w:tblLook w:val="04A0" w:firstRow="1" w:lastRow="0" w:firstColumn="1" w:lastColumn="0" w:noHBand="0" w:noVBand="1"/>
      </w:tblPr>
      <w:tblGrid>
        <w:gridCol w:w="4582"/>
        <w:gridCol w:w="4582"/>
        <w:gridCol w:w="5065"/>
      </w:tblGrid>
      <w:tr w:rsidR="00E40D4B">
        <w:tc>
          <w:tcPr>
            <w:tcW w:w="4582"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Konkretni mjerljivi pokazatelji doprinosa nevladinih organizacija</w:t>
            </w:r>
          </w:p>
        </w:tc>
        <w:tc>
          <w:tcPr>
            <w:tcW w:w="5065" w:type="dxa"/>
            <w:tcBorders>
              <w:top w:val="single" w:sz="18" w:space="0" w:color="auto"/>
              <w:left w:val="single" w:sz="2" w:space="0" w:color="auto"/>
            </w:tcBorders>
            <w:shd w:val="clear" w:color="auto" w:fill="F2F2F2" w:themeFill="background1" w:themeFillShade="F2"/>
          </w:tcPr>
          <w:p w:rsidR="00E40D4B" w:rsidRDefault="00C0787B">
            <w:pPr>
              <w:rPr>
                <w:rFonts w:ascii="Arial" w:eastAsia="MS Mincho" w:hAnsi="Arial" w:cs="Arial"/>
                <w:szCs w:val="20"/>
              </w:rPr>
            </w:pPr>
            <w:r>
              <w:rPr>
                <w:rFonts w:ascii="Arial" w:eastAsia="MS Mincho" w:hAnsi="Arial" w:cs="Arial"/>
                <w:szCs w:val="20"/>
              </w:rPr>
              <w:t>Izvor(i) podataka</w:t>
            </w:r>
          </w:p>
        </w:tc>
      </w:tr>
      <w:tr w:rsidR="00E40D4B">
        <w:tc>
          <w:tcPr>
            <w:tcW w:w="4582" w:type="dxa"/>
            <w:tcMar>
              <w:top w:w="57" w:type="dxa"/>
              <w:bottom w:w="57" w:type="dxa"/>
            </w:tcMar>
          </w:tcPr>
          <w:p w:rsidR="00E40D4B" w:rsidRDefault="00C0787B">
            <w:pPr>
              <w:rPr>
                <w:rFonts w:ascii="Arial" w:eastAsia="Times New Roman" w:hAnsi="Arial"/>
                <w:szCs w:val="24"/>
                <w:lang w:val="en-US"/>
              </w:rPr>
            </w:pPr>
            <w:r>
              <w:rPr>
                <w:rFonts w:ascii="Arial" w:eastAsia="Times New Roman" w:hAnsi="Arial" w:cs="Arial"/>
                <w:szCs w:val="24"/>
                <w:lang w:val="en-US"/>
              </w:rPr>
              <w:t xml:space="preserve"> </w:t>
            </w:r>
            <w:r>
              <w:rPr>
                <w:rFonts w:ascii="Arial" w:eastAsia="Times New Roman" w:hAnsi="Arial"/>
                <w:szCs w:val="24"/>
                <w:lang w:val="en-US"/>
              </w:rPr>
              <w:t>Nevladine organizacije imaju važnu dopunsku ulogu u unapređenju sistema zaštite potrošača, posebno u segmentima u kojima je uočena potreba za jačanjem informisanosti građana, unapređenjem dostupnosti podataka i razvojem lokalnih mehanizama podrške. Njihov doprinos se u tom smislu može posmatrati kroz tri međusobno povezana pravca djelovanja.</w:t>
            </w:r>
          </w:p>
          <w:p w:rsidR="00E40D4B" w:rsidRDefault="00E40D4B">
            <w:pPr>
              <w:rPr>
                <w:rFonts w:ascii="Arial" w:eastAsia="Times New Roman" w:hAnsi="Arial"/>
                <w:szCs w:val="24"/>
                <w:lang w:val="en-US"/>
              </w:rPr>
            </w:pPr>
          </w:p>
          <w:p w:rsidR="00E40D4B" w:rsidRDefault="00C0787B">
            <w:pPr>
              <w:rPr>
                <w:rFonts w:ascii="Arial" w:eastAsia="Times New Roman" w:hAnsi="Arial"/>
                <w:szCs w:val="24"/>
                <w:lang w:val="en-US"/>
              </w:rPr>
            </w:pPr>
            <w:r>
              <w:rPr>
                <w:rFonts w:ascii="Arial" w:eastAsia="Times New Roman" w:hAnsi="Arial"/>
                <w:szCs w:val="24"/>
                <w:lang w:val="en-US"/>
              </w:rPr>
              <w:t>Prvi pravac odnosi se na informisanje i edukaciju potrošača, naročito u kontekstu novih zakonskih rješenja i modernizovanog pravnog okvira. Poseban značaj ima upoznavanje građana sa pravima koja proizilaze iz novih pravila u oblasti digitalnog sadržaja, digitalnih usluga i savremenih oblika trgovine, kao i sa dostupnim institucionalnim mehanizmima zaštite, uključujući Centralni informacioni sistem zaštite potrošača (CISZP) i druge kanale komunikacije sa nadležnim institucijama.</w:t>
            </w:r>
          </w:p>
          <w:p w:rsidR="00E40D4B" w:rsidRDefault="00E40D4B">
            <w:pPr>
              <w:rPr>
                <w:rFonts w:ascii="Arial" w:eastAsia="Times New Roman" w:hAnsi="Arial"/>
                <w:szCs w:val="24"/>
                <w:lang w:val="en-US"/>
              </w:rPr>
            </w:pPr>
          </w:p>
          <w:p w:rsidR="00E40D4B" w:rsidRDefault="00C0787B">
            <w:pPr>
              <w:rPr>
                <w:rFonts w:ascii="Arial" w:eastAsia="Times New Roman" w:hAnsi="Arial"/>
                <w:szCs w:val="24"/>
                <w:lang w:val="en-US"/>
              </w:rPr>
            </w:pPr>
            <w:r>
              <w:rPr>
                <w:rFonts w:ascii="Arial" w:eastAsia="Times New Roman" w:hAnsi="Arial"/>
                <w:szCs w:val="24"/>
                <w:lang w:val="en-US"/>
              </w:rPr>
              <w:t xml:space="preserve">Drugi pravac djelovanja odnosi se na unapređenje sistema praćenja i razumijevanja potreba potrošača kroz sprovođenje istraživanja javnog mnjenja i analiza iskustava građana. Ova istraživanja imaju poseban značaj u oblastima koje se odnose na digitalno tržište i vansudske mehanizme zaštite, jer omogućavaju bolji uvid u nivo informisanosti, učestalost problema i način na koji potrošači koriste postojeće </w:t>
            </w:r>
            <w:r>
              <w:rPr>
                <w:rFonts w:ascii="Arial" w:eastAsia="Times New Roman" w:hAnsi="Arial"/>
                <w:szCs w:val="24"/>
                <w:lang w:val="en-US"/>
              </w:rPr>
              <w:lastRenderedPageBreak/>
              <w:t>mehanizme zaštite, čime se doprinosi kvalitetnijem kreiranju javnih politika.</w:t>
            </w:r>
          </w:p>
          <w:p w:rsidR="00E40D4B" w:rsidRDefault="00E40D4B">
            <w:pPr>
              <w:rPr>
                <w:rFonts w:ascii="Arial" w:eastAsia="Times New Roman" w:hAnsi="Arial"/>
                <w:szCs w:val="24"/>
                <w:lang w:val="en-US"/>
              </w:rPr>
            </w:pPr>
          </w:p>
          <w:p w:rsidR="00E40D4B" w:rsidRDefault="00C0787B">
            <w:pPr>
              <w:rPr>
                <w:rFonts w:ascii="Arial" w:eastAsia="Times New Roman" w:hAnsi="Arial"/>
                <w:szCs w:val="24"/>
                <w:lang w:val="en-US"/>
              </w:rPr>
            </w:pPr>
            <w:r>
              <w:rPr>
                <w:rFonts w:ascii="Arial" w:eastAsia="Times New Roman" w:hAnsi="Arial"/>
                <w:szCs w:val="24"/>
                <w:lang w:val="en-US"/>
              </w:rPr>
              <w:t>Treći pravac odnosi se na pružanje neposredne podrške potrošačima i jačanje lokalne infrastrukture zaštite, uključujući savjetodavne i informativne aktivnosti na lokalnom nivou. U ovom segmentu poseban značaj ima doprinos uspostavljanju i funkcionisanju savjetovališta za zaštitu potrošača, čime se unapređuje dostupnost pravne i savjetodavne pomoći građanima i smanjuje jaz između formalno uspostavljenog sistema zaštite i njegove praktične primjene.</w:t>
            </w:r>
          </w:p>
          <w:p w:rsidR="00E40D4B" w:rsidRDefault="00E40D4B">
            <w:pPr>
              <w:rPr>
                <w:rFonts w:ascii="Arial" w:eastAsia="Times New Roman" w:hAnsi="Arial"/>
                <w:szCs w:val="24"/>
                <w:lang w:val="en-US"/>
              </w:rPr>
            </w:pPr>
          </w:p>
          <w:p w:rsidR="00E40D4B" w:rsidRDefault="00C0787B">
            <w:pPr>
              <w:rPr>
                <w:rFonts w:ascii="Arial" w:eastAsia="Times New Roman" w:hAnsi="Arial" w:cs="Arial"/>
                <w:szCs w:val="24"/>
                <w:lang w:val="en-US"/>
              </w:rPr>
            </w:pPr>
            <w:r>
              <w:rPr>
                <w:rFonts w:ascii="Arial" w:eastAsia="Times New Roman" w:hAnsi="Arial"/>
                <w:szCs w:val="24"/>
                <w:lang w:val="en-US"/>
              </w:rPr>
              <w:t>Na ovaj način, djelovanje nevladinih organizacija predstavlja komplementaran mehanizam institucionalnom okviru, usmjeren na jačanje informisanosti, unapređenje dostupnosti podataka i povećanje efektivnosti sistema zaštite potrošača u praksi.</w:t>
            </w:r>
          </w:p>
        </w:tc>
        <w:tc>
          <w:tcPr>
            <w:tcW w:w="4582" w:type="dxa"/>
            <w:tcBorders>
              <w:right w:val="single" w:sz="2" w:space="0" w:color="auto"/>
            </w:tcBorders>
            <w:tcMar>
              <w:top w:w="57" w:type="dxa"/>
              <w:bottom w:w="57" w:type="dxa"/>
            </w:tcMar>
          </w:tcPr>
          <w:p w:rsidR="00E40D4B" w:rsidRDefault="00C0787B">
            <w:pPr>
              <w:numPr>
                <w:ilvl w:val="0"/>
                <w:numId w:val="7"/>
              </w:numPr>
              <w:rPr>
                <w:rFonts w:ascii="Arial" w:eastAsia="MS Mincho" w:hAnsi="Arial"/>
                <w:szCs w:val="20"/>
                <w:lang w:val="en-US"/>
              </w:rPr>
            </w:pPr>
            <w:r>
              <w:rPr>
                <w:rFonts w:ascii="Arial" w:eastAsia="MS Mincho" w:hAnsi="Arial"/>
                <w:szCs w:val="20"/>
                <w:lang w:val="en-US"/>
              </w:rPr>
              <w:lastRenderedPageBreak/>
              <w:t xml:space="preserve">Povećanje nivoa informisanosti potrošača o potrošačkim pravima za </w:t>
            </w:r>
            <w:r>
              <w:rPr>
                <w:rFonts w:ascii="Arial" w:eastAsia="MS Mincho" w:hAnsi="Arial"/>
                <w:szCs w:val="20"/>
              </w:rPr>
              <w:t>3</w:t>
            </w:r>
            <w:r>
              <w:rPr>
                <w:rFonts w:ascii="Arial" w:eastAsia="MS Mincho" w:hAnsi="Arial"/>
                <w:szCs w:val="20"/>
                <w:lang w:val="en-US"/>
              </w:rPr>
              <w:t xml:space="preserve">% u odnosu na </w:t>
            </w:r>
            <w:r w:rsidR="00BC0F77">
              <w:rPr>
                <w:rFonts w:ascii="Arial" w:eastAsia="MS Mincho" w:hAnsi="Arial"/>
                <w:szCs w:val="20"/>
                <w:lang w:val="en-US"/>
              </w:rPr>
              <w:t>2025. godinu</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sprovedenih kampanja i medijskih objava o potrošačkim pravima i novom zakonskom okviru</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građana obuhvaćenih edukativnim i informativnim aktivnostima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lastRenderedPageBreak/>
              <w:t>Broj objavljenih i distribuiranih informativnih materijala (brošure, vodiči, online sadržaji)</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realizovanih istraživanja javnog mnjenja u oblasti zaštite potrošača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ispitanika obuhvaćenih istraživanjima javnog mnjenja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analiza i izvještaja izrađenih na osnovu prikupljenih podataka sa terena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građana koji su se obratili savjetovalištima za zaštitu potrošača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obrađenih zahtjeva i pruženih savjeta potrošačima</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uspostavljenih i operativnih savjetovališta za zaštitu potrošača na lokalnom nivou</w:t>
            </w:r>
          </w:p>
          <w:p w:rsidR="00E40D4B" w:rsidRDefault="00C0787B">
            <w:pPr>
              <w:numPr>
                <w:ilvl w:val="0"/>
                <w:numId w:val="7"/>
              </w:numPr>
              <w:rPr>
                <w:rFonts w:ascii="Arial" w:eastAsia="MS Mincho" w:hAnsi="Arial"/>
                <w:szCs w:val="20"/>
                <w:lang w:val="en-US"/>
              </w:rPr>
            </w:pPr>
            <w:r>
              <w:rPr>
                <w:rFonts w:ascii="Arial" w:eastAsia="MS Mincho" w:hAnsi="Arial"/>
                <w:szCs w:val="20"/>
                <w:lang w:val="en-US"/>
              </w:rPr>
              <w:t>Broj aktivnosti podrške vansudskom rješavanju potrošačkih sporova</w:t>
            </w:r>
          </w:p>
          <w:p w:rsidR="00E40D4B" w:rsidRDefault="00C0787B">
            <w:pPr>
              <w:numPr>
                <w:ilvl w:val="0"/>
                <w:numId w:val="7"/>
              </w:numPr>
              <w:rPr>
                <w:rFonts w:ascii="Arial" w:eastAsia="MS Mincho" w:hAnsi="Arial" w:cs="Arial"/>
                <w:szCs w:val="20"/>
                <w:lang w:val="en-US"/>
              </w:rPr>
            </w:pPr>
            <w:r>
              <w:rPr>
                <w:rFonts w:ascii="Arial" w:eastAsia="MS Mincho" w:hAnsi="Arial"/>
                <w:szCs w:val="20"/>
                <w:lang w:val="en-US"/>
              </w:rPr>
              <w:t>Broj događaja (okrugli stolovi, radionice, javni časovi, edukacije) usmjerenih na zaštitu potrošača</w:t>
            </w:r>
          </w:p>
        </w:tc>
        <w:tc>
          <w:tcPr>
            <w:tcW w:w="5065" w:type="dxa"/>
            <w:tcBorders>
              <w:left w:val="single" w:sz="2" w:space="0" w:color="auto"/>
            </w:tcBorders>
          </w:tcPr>
          <w:p w:rsidR="00E40D4B" w:rsidRDefault="00C0787B">
            <w:pPr>
              <w:numPr>
                <w:ilvl w:val="0"/>
                <w:numId w:val="7"/>
              </w:numPr>
              <w:rPr>
                <w:rFonts w:ascii="Arial" w:hAnsi="Arial"/>
                <w:szCs w:val="20"/>
              </w:rPr>
            </w:pPr>
            <w:r>
              <w:rPr>
                <w:rFonts w:ascii="Arial" w:hAnsi="Arial"/>
                <w:szCs w:val="20"/>
              </w:rPr>
              <w:lastRenderedPageBreak/>
              <w:t>Istraživanje o poznavanju prava potrošača u Crnoj Gori</w:t>
            </w:r>
          </w:p>
          <w:p w:rsidR="00E40D4B" w:rsidRDefault="00C0787B">
            <w:pPr>
              <w:numPr>
                <w:ilvl w:val="0"/>
                <w:numId w:val="7"/>
              </w:numPr>
              <w:rPr>
                <w:rFonts w:ascii="Arial" w:hAnsi="Arial"/>
                <w:szCs w:val="20"/>
              </w:rPr>
            </w:pPr>
            <w:r>
              <w:rPr>
                <w:rFonts w:ascii="Arial" w:hAnsi="Arial"/>
                <w:szCs w:val="20"/>
              </w:rPr>
              <w:t>Izvještaji o medijskom praćenju i evidencije medijskih objava (radio, TV, štampani i elektronski mediji)</w:t>
            </w:r>
          </w:p>
          <w:p w:rsidR="00E40D4B" w:rsidRDefault="00C0787B">
            <w:pPr>
              <w:numPr>
                <w:ilvl w:val="0"/>
                <w:numId w:val="7"/>
              </w:numPr>
              <w:rPr>
                <w:rFonts w:ascii="Arial" w:hAnsi="Arial"/>
                <w:szCs w:val="20"/>
              </w:rPr>
            </w:pPr>
            <w:r>
              <w:rPr>
                <w:rFonts w:ascii="Arial" w:hAnsi="Arial"/>
                <w:szCs w:val="20"/>
              </w:rPr>
              <w:t>Izvještaj o radu savjetovališta za zaštitu potrošača</w:t>
            </w:r>
          </w:p>
          <w:p w:rsidR="00E40D4B" w:rsidRDefault="00C0787B">
            <w:pPr>
              <w:numPr>
                <w:ilvl w:val="0"/>
                <w:numId w:val="7"/>
              </w:numPr>
              <w:rPr>
                <w:rFonts w:ascii="Arial" w:hAnsi="Arial"/>
                <w:szCs w:val="20"/>
              </w:rPr>
            </w:pPr>
            <w:r>
              <w:rPr>
                <w:rFonts w:ascii="Arial" w:hAnsi="Arial"/>
                <w:szCs w:val="20"/>
              </w:rPr>
              <w:lastRenderedPageBreak/>
              <w:t>Baza podataka o pristiglim prijavama, pritužbama i zahtjevima potrošača</w:t>
            </w:r>
          </w:p>
          <w:p w:rsidR="00E40D4B" w:rsidRDefault="00C0787B">
            <w:pPr>
              <w:numPr>
                <w:ilvl w:val="0"/>
                <w:numId w:val="7"/>
              </w:numPr>
              <w:rPr>
                <w:rFonts w:ascii="Arial" w:hAnsi="Arial"/>
                <w:szCs w:val="20"/>
              </w:rPr>
            </w:pPr>
            <w:r>
              <w:rPr>
                <w:rFonts w:ascii="Arial" w:hAnsi="Arial"/>
                <w:szCs w:val="20"/>
              </w:rPr>
              <w:t>Izvještaji o monitoringu sprovođenja zakonskih normi u oblasti zaštite potrošača</w:t>
            </w:r>
          </w:p>
          <w:p w:rsidR="00E40D4B" w:rsidRDefault="00C0787B">
            <w:pPr>
              <w:numPr>
                <w:ilvl w:val="0"/>
                <w:numId w:val="7"/>
              </w:numPr>
              <w:rPr>
                <w:rFonts w:ascii="Arial" w:hAnsi="Arial"/>
                <w:szCs w:val="20"/>
              </w:rPr>
            </w:pPr>
            <w:r>
              <w:rPr>
                <w:rFonts w:ascii="Arial" w:hAnsi="Arial"/>
                <w:szCs w:val="20"/>
              </w:rPr>
              <w:t>Izvještaji o sprovedenim istraživanjima javnog mnjenja</w:t>
            </w:r>
          </w:p>
          <w:p w:rsidR="00E40D4B" w:rsidRDefault="00C0787B">
            <w:pPr>
              <w:numPr>
                <w:ilvl w:val="0"/>
                <w:numId w:val="7"/>
              </w:numPr>
              <w:rPr>
                <w:rFonts w:ascii="Arial" w:hAnsi="Arial"/>
                <w:szCs w:val="20"/>
              </w:rPr>
            </w:pPr>
            <w:r>
              <w:rPr>
                <w:rFonts w:ascii="Arial" w:hAnsi="Arial"/>
                <w:szCs w:val="20"/>
              </w:rPr>
              <w:t>Izvještaji o realizovanim edukativnim i informativnim aktivnostima</w:t>
            </w:r>
          </w:p>
          <w:p w:rsidR="00E40D4B" w:rsidRDefault="00C0787B">
            <w:pPr>
              <w:numPr>
                <w:ilvl w:val="0"/>
                <w:numId w:val="7"/>
              </w:numPr>
              <w:rPr>
                <w:rFonts w:ascii="Arial" w:hAnsi="Arial"/>
                <w:szCs w:val="20"/>
              </w:rPr>
            </w:pPr>
            <w:r>
              <w:rPr>
                <w:rFonts w:ascii="Arial" w:hAnsi="Arial"/>
                <w:szCs w:val="20"/>
              </w:rPr>
              <w:t>Izvještaji o realizovanim događajima (radionice, okrugli stolovi, javni časovi i edukacije)</w:t>
            </w:r>
          </w:p>
          <w:p w:rsidR="00E40D4B" w:rsidRDefault="00C0787B">
            <w:pPr>
              <w:numPr>
                <w:ilvl w:val="0"/>
                <w:numId w:val="7"/>
              </w:numPr>
              <w:rPr>
                <w:rFonts w:ascii="Arial" w:hAnsi="Arial"/>
                <w:szCs w:val="20"/>
              </w:rPr>
            </w:pPr>
            <w:r>
              <w:rPr>
                <w:rFonts w:ascii="Arial" w:hAnsi="Arial"/>
                <w:szCs w:val="20"/>
              </w:rPr>
              <w:t>Evidencije o distribuiranim informativnim materijalima i publikacijama</w:t>
            </w:r>
          </w:p>
          <w:p w:rsidR="00E40D4B" w:rsidRDefault="00C0787B">
            <w:pPr>
              <w:numPr>
                <w:ilvl w:val="0"/>
                <w:numId w:val="7"/>
              </w:numPr>
              <w:rPr>
                <w:rFonts w:ascii="Arial" w:eastAsia="MS Mincho" w:hAnsi="Arial" w:cs="Arial"/>
                <w:szCs w:val="20"/>
              </w:rPr>
            </w:pPr>
            <w:r>
              <w:rPr>
                <w:rFonts w:ascii="Arial" w:hAnsi="Arial"/>
                <w:szCs w:val="20"/>
              </w:rPr>
              <w:t>Evidencije savjetovališta o broju obrađenih predmeta i pruženih usluga</w:t>
            </w:r>
          </w:p>
        </w:tc>
      </w:tr>
    </w:tbl>
    <w:p w:rsidR="00E40D4B" w:rsidRDefault="00E40D4B">
      <w:pPr>
        <w:rPr>
          <w:rFonts w:ascii="Arial" w:hAnsi="Arial" w:cs="Arial"/>
        </w:rPr>
      </w:pPr>
    </w:p>
    <w:p w:rsidR="002032BE" w:rsidRDefault="002032BE">
      <w:pPr>
        <w:rPr>
          <w:rFonts w:ascii="Arial" w:hAnsi="Arial" w:cs="Arial"/>
        </w:rPr>
      </w:pPr>
    </w:p>
    <w:p w:rsidR="00E40D4B" w:rsidRDefault="00C0787B">
      <w:pPr>
        <w:pStyle w:val="ListParagraph"/>
        <w:numPr>
          <w:ilvl w:val="0"/>
          <w:numId w:val="8"/>
        </w:numPr>
        <w:jc w:val="both"/>
        <w:rPr>
          <w:rFonts w:ascii="Arial" w:hAnsi="Arial" w:cs="Arial"/>
          <w:b/>
          <w:lang w:val="sr-Latn-ME"/>
        </w:rPr>
      </w:pPr>
      <w:r>
        <w:rPr>
          <w:rFonts w:ascii="Arial" w:hAnsi="Arial" w:cs="Arial"/>
          <w:b/>
          <w:lang w:val="sr-Latn-ME"/>
        </w:rPr>
        <w:lastRenderedPageBreak/>
        <w:t>OSTVARIVANJE STRATEŠKIH CILJEVA</w:t>
      </w:r>
    </w:p>
    <w:p w:rsidR="002032BE" w:rsidRDefault="002032BE">
      <w:pPr>
        <w:pStyle w:val="ListParagraph"/>
        <w:jc w:val="both"/>
        <w:rPr>
          <w:rFonts w:ascii="Arial" w:hAnsi="Arial" w:cs="Arial"/>
          <w:lang w:val="sr-Latn-ME"/>
        </w:rPr>
      </w:pPr>
    </w:p>
    <w:p w:rsidR="00E40D4B" w:rsidRDefault="00C0787B">
      <w:pPr>
        <w:pStyle w:val="ListParagraph"/>
        <w:jc w:val="both"/>
        <w:rPr>
          <w:rFonts w:ascii="Arial" w:hAnsi="Arial" w:cs="Arial"/>
          <w:lang w:val="sr-Latn-ME"/>
        </w:rPr>
      </w:pPr>
      <w:r>
        <w:rPr>
          <w:rFonts w:ascii="Arial" w:hAnsi="Arial" w:cs="Arial"/>
          <w:lang w:val="sr-Latn-ME"/>
        </w:rPr>
        <w:t xml:space="preserve">3.1.Navesti ključne strateške ciljeve iz sektorske nadležnosti čijem će ostvarenju u </w:t>
      </w:r>
      <w:r>
        <w:rPr>
          <w:rFonts w:ascii="Arial" w:hAnsi="Arial" w:cs="Arial"/>
          <w:u w:val="single"/>
          <w:lang w:val="sr-Latn-ME"/>
        </w:rPr>
        <w:t>2027. godini</w:t>
      </w:r>
      <w:r>
        <w:rPr>
          <w:rFonts w:ascii="Arial" w:hAnsi="Arial" w:cs="Arial"/>
          <w:lang w:val="sr-Latn-ME"/>
        </w:rPr>
        <w:t xml:space="preserve"> doprinijeti projekti i programi nevladinih organizacija.</w:t>
      </w:r>
    </w:p>
    <w:tbl>
      <w:tblPr>
        <w:tblStyle w:val="TableGrid"/>
        <w:tblW w:w="14229" w:type="dxa"/>
        <w:tblInd w:w="792" w:type="dxa"/>
        <w:tblLook w:val="04A0" w:firstRow="1" w:lastRow="0" w:firstColumn="1" w:lastColumn="0" w:noHBand="0" w:noVBand="1"/>
      </w:tblPr>
      <w:tblGrid>
        <w:gridCol w:w="6884"/>
        <w:gridCol w:w="7345"/>
      </w:tblGrid>
      <w:tr w:rsidR="00E40D4B">
        <w:tc>
          <w:tcPr>
            <w:tcW w:w="6884"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 xml:space="preserve">Strateški cilj(evi) čijem ostvarenju će doprinijeti javni konkurs za projekte i programe nevladinih organizacija u </w:t>
            </w:r>
            <w:r>
              <w:rPr>
                <w:rFonts w:ascii="Arial" w:eastAsia="MS Mincho" w:hAnsi="Arial" w:cs="Arial"/>
                <w:szCs w:val="20"/>
                <w:u w:val="single"/>
              </w:rPr>
              <w:t>2027</w:t>
            </w:r>
            <w:r>
              <w:rPr>
                <w:rFonts w:ascii="Arial" w:eastAsia="MS Mincho" w:hAnsi="Arial" w:cs="Arial"/>
                <w:szCs w:val="20"/>
              </w:rPr>
              <w:t>. godini</w:t>
            </w:r>
          </w:p>
        </w:tc>
        <w:tc>
          <w:tcPr>
            <w:tcW w:w="7345"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Način na koji će javni konkurs za projekte i programe nevladinih organizacija doprinijeti ostvarenju strateških ciljeva (ukratko opisati)</w:t>
            </w:r>
          </w:p>
        </w:tc>
      </w:tr>
      <w:tr w:rsidR="00E40D4B">
        <w:tc>
          <w:tcPr>
            <w:tcW w:w="6884" w:type="dxa"/>
            <w:tcMar>
              <w:top w:w="57" w:type="dxa"/>
              <w:bottom w:w="57" w:type="dxa"/>
            </w:tcMar>
          </w:tcPr>
          <w:p w:rsidR="00E40D4B" w:rsidRDefault="00C0787B">
            <w:pPr>
              <w:rPr>
                <w:rFonts w:ascii="Arial" w:eastAsia="MS Mincho" w:hAnsi="Arial" w:cs="Arial"/>
                <w:szCs w:val="20"/>
                <w:lang w:val="en-US"/>
              </w:rPr>
            </w:pPr>
            <w:r>
              <w:rPr>
                <w:rFonts w:ascii="Arial" w:eastAsia="MS Mincho" w:hAnsi="Arial"/>
                <w:szCs w:val="20"/>
                <w:lang w:val="en-US"/>
              </w:rPr>
              <w:t>Jačanje zaštite potrošača u Crnoj Gori kroz unapređenje tržišnog nadzora, međuinstitucionalne saradnje i bezbjednosti proizvoda, uz poštovanje principa rodne ravnopravnosti i zaštite životne sredine</w:t>
            </w:r>
          </w:p>
        </w:tc>
        <w:tc>
          <w:tcPr>
            <w:tcW w:w="7345" w:type="dxa"/>
            <w:tcMar>
              <w:top w:w="57" w:type="dxa"/>
              <w:bottom w:w="57" w:type="dxa"/>
            </w:tcMar>
          </w:tcPr>
          <w:p w:rsidR="00E40D4B" w:rsidRDefault="00C0787B">
            <w:pPr>
              <w:rPr>
                <w:rFonts w:ascii="Arial" w:eastAsia="MS Mincho" w:hAnsi="Arial"/>
                <w:szCs w:val="20"/>
                <w:lang w:val="en-US"/>
              </w:rPr>
            </w:pPr>
            <w:r>
              <w:rPr>
                <w:rFonts w:ascii="Arial" w:eastAsia="MS Mincho" w:hAnsi="Arial"/>
                <w:szCs w:val="20"/>
                <w:lang w:val="en-US"/>
              </w:rPr>
              <w:t>Javni konkurs za projekte i programe nevladinih organizacija doprinijeće ostvarenju strateškog cilja kroz finansiranje aktivnosti usmjerenih na jačanje informisanosti potrošača o njihovim pravima i dostupnim mehanizmima zaštite, posebno u kontekstu novih zakonskih rješenja i digitalnog tržišta. Doprinos će se ostvarivati i kroz sprovođenje istraživanja javnog mnjenja i prikupljanje podataka o iskustvima potrošača, čime se unapređuje sistem praćenja i evaluacije politika zaštite potrošača i obezbjeđuje kvalitetnija osnova za njihovo planiranje i unapređenje.</w:t>
            </w:r>
          </w:p>
          <w:p w:rsidR="00E40D4B" w:rsidRDefault="00E40D4B">
            <w:pPr>
              <w:rPr>
                <w:rFonts w:ascii="Arial" w:eastAsia="MS Mincho" w:hAnsi="Arial"/>
                <w:szCs w:val="20"/>
                <w:lang w:val="en-US"/>
              </w:rPr>
            </w:pPr>
          </w:p>
          <w:p w:rsidR="00E40D4B" w:rsidRDefault="00C0787B">
            <w:pPr>
              <w:rPr>
                <w:rFonts w:ascii="Cambria" w:eastAsia="Times New Roman" w:hAnsi="Cambria" w:cs="Times New Roman"/>
                <w:szCs w:val="20"/>
                <w:lang w:val="en-US"/>
              </w:rPr>
            </w:pPr>
            <w:r>
              <w:rPr>
                <w:rFonts w:ascii="Arial" w:eastAsia="MS Mincho" w:hAnsi="Arial"/>
                <w:szCs w:val="20"/>
                <w:lang w:val="en-US"/>
              </w:rPr>
              <w:t>Istovremeno, konkurs će omogućiti realizaciju aktivnosti usmjerenih na unapređenje dostupnosti savjetodavne i pravne podrške građanima na lokalnom nivou, uključujući podršku razvoju i funkcionisanju savjetovališta za zaštitu potrošača, čime se doprinosi jačanju praktične primjene potrošačkih prava i unapređenju ukupne efikasnosti sistema zaštite potrošača.</w:t>
            </w:r>
          </w:p>
        </w:tc>
      </w:tr>
    </w:tbl>
    <w:p w:rsidR="00E40D4B" w:rsidRDefault="00C0787B">
      <w:pPr>
        <w:rPr>
          <w:rFonts w:ascii="Arial" w:hAnsi="Arial" w:cs="Arial"/>
        </w:rPr>
      </w:pPr>
      <w:r>
        <w:rPr>
          <w:rFonts w:ascii="Arial" w:hAnsi="Arial" w:cs="Arial"/>
        </w:rPr>
        <w:t xml:space="preserve"> </w:t>
      </w:r>
    </w:p>
    <w:p w:rsidR="002032BE" w:rsidRDefault="002032BE">
      <w:pPr>
        <w:rPr>
          <w:rFonts w:ascii="Arial" w:hAnsi="Arial" w:cs="Arial"/>
        </w:rPr>
      </w:pPr>
    </w:p>
    <w:p w:rsidR="00E40D4B" w:rsidRDefault="00C0787B">
      <w:pPr>
        <w:pStyle w:val="ListParagraph"/>
        <w:numPr>
          <w:ilvl w:val="0"/>
          <w:numId w:val="8"/>
        </w:numPr>
        <w:jc w:val="both"/>
        <w:rPr>
          <w:rFonts w:ascii="Arial" w:hAnsi="Arial" w:cs="Arial"/>
          <w:b/>
          <w:lang w:val="sr-Latn-ME"/>
        </w:rPr>
      </w:pPr>
      <w:r>
        <w:rPr>
          <w:rFonts w:ascii="Arial" w:hAnsi="Arial" w:cs="Arial"/>
          <w:b/>
          <w:lang w:val="sr-Latn-ME"/>
        </w:rPr>
        <w:lastRenderedPageBreak/>
        <w:t>JAVNI KONKURSI ZA FINANSIRANJE PROJEKATA I PROGRAMA NVO - DOPRINOS OSTVARENJU STRATEŠKIH CILJEVA IZ SEKTORSKE NADLEŽNOSTI MINISTARSTVA</w:t>
      </w:r>
    </w:p>
    <w:p w:rsidR="002032BE" w:rsidRDefault="002032BE">
      <w:pPr>
        <w:pStyle w:val="ListParagraph"/>
        <w:jc w:val="both"/>
        <w:rPr>
          <w:rFonts w:ascii="Arial" w:hAnsi="Arial" w:cs="Arial"/>
          <w:lang w:val="sr-Latn-ME"/>
        </w:rPr>
      </w:pPr>
    </w:p>
    <w:p w:rsidR="00E40D4B" w:rsidRDefault="00C0787B">
      <w:pPr>
        <w:pStyle w:val="ListParagraph"/>
        <w:jc w:val="both"/>
        <w:rPr>
          <w:rFonts w:ascii="Arial" w:hAnsi="Arial" w:cs="Arial"/>
          <w:lang w:val="sr-Latn-ME"/>
        </w:rPr>
      </w:pPr>
      <w:r>
        <w:rPr>
          <w:rFonts w:ascii="Arial" w:hAnsi="Arial" w:cs="Arial"/>
          <w:lang w:val="sr-Latn-ME"/>
        </w:rPr>
        <w:t xml:space="preserve">4.1.Navesti javne konkurse koji se predlažu za objavljivanje u </w:t>
      </w:r>
      <w:r>
        <w:rPr>
          <w:rFonts w:ascii="Arial" w:hAnsi="Arial" w:cs="Arial"/>
          <w:u w:val="single"/>
          <w:lang w:val="sr-Latn-ME"/>
        </w:rPr>
        <w:t>2027.</w:t>
      </w:r>
      <w:r>
        <w:rPr>
          <w:rFonts w:ascii="Arial" w:hAnsi="Arial" w:cs="Arial"/>
          <w:lang w:val="sr-Latn-ME"/>
        </w:rPr>
        <w:t xml:space="preserve">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14229" w:type="dxa"/>
        <w:tblInd w:w="792" w:type="dxa"/>
        <w:tblLook w:val="04A0" w:firstRow="1" w:lastRow="0" w:firstColumn="1" w:lastColumn="0" w:noHBand="0" w:noVBand="1"/>
      </w:tblPr>
      <w:tblGrid>
        <w:gridCol w:w="6132"/>
        <w:gridCol w:w="1889"/>
        <w:gridCol w:w="6208"/>
      </w:tblGrid>
      <w:tr w:rsidR="00E40D4B">
        <w:tc>
          <w:tcPr>
            <w:tcW w:w="6132"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 xml:space="preserve">Naziv javnog konkursa </w:t>
            </w:r>
          </w:p>
        </w:tc>
        <w:tc>
          <w:tcPr>
            <w:tcW w:w="1889" w:type="dxa"/>
            <w:tcBorders>
              <w:top w:val="single" w:sz="18" w:space="0" w:color="auto"/>
              <w:right w:val="single" w:sz="2"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Iznos</w:t>
            </w:r>
          </w:p>
        </w:tc>
        <w:tc>
          <w:tcPr>
            <w:tcW w:w="6208" w:type="dxa"/>
            <w:tcBorders>
              <w:top w:val="single" w:sz="18" w:space="0" w:color="auto"/>
              <w:left w:val="single" w:sz="2" w:space="0" w:color="auto"/>
            </w:tcBorders>
            <w:shd w:val="clear" w:color="auto" w:fill="F2F2F2" w:themeFill="background1" w:themeFillShade="F2"/>
          </w:tcPr>
          <w:p w:rsidR="00E40D4B" w:rsidRDefault="00C0787B">
            <w:pPr>
              <w:rPr>
                <w:rFonts w:ascii="Arial" w:eastAsia="MS Mincho" w:hAnsi="Arial" w:cs="Arial"/>
                <w:szCs w:val="20"/>
              </w:rPr>
            </w:pPr>
            <w:r>
              <w:rPr>
                <w:rFonts w:ascii="Arial" w:eastAsia="MS Mincho" w:hAnsi="Arial" w:cs="Arial"/>
                <w:szCs w:val="20"/>
              </w:rPr>
              <w:t>Drugi donatori s kojima je potrebno koordinirati oblasti finansiranja</w:t>
            </w:r>
          </w:p>
        </w:tc>
      </w:tr>
      <w:tr w:rsidR="00E40D4B">
        <w:tc>
          <w:tcPr>
            <w:tcW w:w="6132" w:type="dxa"/>
            <w:tcMar>
              <w:top w:w="57" w:type="dxa"/>
              <w:bottom w:w="57" w:type="dxa"/>
            </w:tcMar>
          </w:tcPr>
          <w:p w:rsidR="00E40D4B" w:rsidRDefault="00C0787B">
            <w:pPr>
              <w:rPr>
                <w:rFonts w:ascii="Arial" w:eastAsia="MS Mincho" w:hAnsi="Arial" w:cs="Arial"/>
                <w:color w:val="FF0000"/>
                <w:szCs w:val="20"/>
              </w:rPr>
            </w:pPr>
            <w:r>
              <w:rPr>
                <w:rFonts w:ascii="Arial" w:eastAsia="MS Mincho" w:hAnsi="Arial" w:cs="Arial"/>
                <w:szCs w:val="20"/>
              </w:rPr>
              <w:t>„</w:t>
            </w:r>
            <w:r>
              <w:rPr>
                <w:rFonts w:ascii="Arial" w:eastAsia="MS Mincho" w:hAnsi="Arial"/>
                <w:szCs w:val="20"/>
              </w:rPr>
              <w:t>Informisan i zaštićen potrošač – razvoj savremenog sistema zaštite prava potrošača</w:t>
            </w:r>
            <w:r>
              <w:rPr>
                <w:rFonts w:ascii="Arial" w:eastAsia="MS Mincho" w:hAnsi="Arial" w:cs="Arial"/>
                <w:szCs w:val="20"/>
                <w:lang w:val="en-US"/>
              </w:rPr>
              <w:t>”</w:t>
            </w:r>
          </w:p>
        </w:tc>
        <w:tc>
          <w:tcPr>
            <w:tcW w:w="1889" w:type="dxa"/>
            <w:tcBorders>
              <w:right w:val="single" w:sz="2" w:space="0" w:color="auto"/>
            </w:tcBorders>
            <w:tcMar>
              <w:top w:w="57" w:type="dxa"/>
              <w:bottom w:w="57" w:type="dxa"/>
            </w:tcMar>
          </w:tcPr>
          <w:p w:rsidR="00E40D4B" w:rsidRDefault="00C0787B">
            <w:pPr>
              <w:rPr>
                <w:rFonts w:ascii="Arial" w:eastAsia="MS Mincho" w:hAnsi="Arial" w:cs="Arial"/>
                <w:color w:val="FF0000"/>
                <w:szCs w:val="20"/>
              </w:rPr>
            </w:pPr>
            <w:r>
              <w:rPr>
                <w:rFonts w:ascii="Arial" w:eastAsia="MS Mincho" w:hAnsi="Arial" w:cs="Arial"/>
                <w:szCs w:val="20"/>
              </w:rPr>
              <w:t>60</w:t>
            </w:r>
            <w:r>
              <w:rPr>
                <w:rFonts w:ascii="Arial" w:eastAsia="MS Mincho" w:hAnsi="Arial" w:cs="Arial"/>
                <w:szCs w:val="20"/>
                <w:lang w:val="en-US"/>
              </w:rPr>
              <w:t>.000,00€</w:t>
            </w:r>
          </w:p>
        </w:tc>
        <w:tc>
          <w:tcPr>
            <w:tcW w:w="6208" w:type="dxa"/>
            <w:tcBorders>
              <w:left w:val="single" w:sz="2" w:space="0" w:color="auto"/>
            </w:tcBorders>
          </w:tcPr>
          <w:p w:rsidR="00E40D4B" w:rsidRDefault="00C0787B">
            <w:pPr>
              <w:rPr>
                <w:rFonts w:ascii="Arial" w:eastAsia="MS Mincho" w:hAnsi="Arial" w:cs="Arial"/>
                <w:szCs w:val="20"/>
              </w:rPr>
            </w:pPr>
            <w:r>
              <w:rPr>
                <w:rFonts w:ascii="Arial" w:eastAsia="MS Mincho" w:hAnsi="Arial"/>
                <w:szCs w:val="20"/>
              </w:rPr>
              <w:t>Jedinice lokalne samouprave</w:t>
            </w:r>
          </w:p>
        </w:tc>
      </w:tr>
    </w:tbl>
    <w:p w:rsidR="00E40D4B" w:rsidRDefault="00E40D4B">
      <w:pPr>
        <w:rPr>
          <w:rFonts w:ascii="Arial" w:hAnsi="Arial" w:cs="Arial"/>
        </w:rPr>
      </w:pPr>
    </w:p>
    <w:p w:rsidR="00E40D4B" w:rsidRDefault="00C0787B">
      <w:pPr>
        <w:pStyle w:val="ListParagraph"/>
        <w:jc w:val="both"/>
        <w:rPr>
          <w:rFonts w:ascii="Arial" w:hAnsi="Arial" w:cs="Arial"/>
          <w:lang w:val="sr-Latn-ME"/>
        </w:rPr>
      </w:pPr>
      <w:r>
        <w:rPr>
          <w:rFonts w:ascii="Arial" w:hAnsi="Arial" w:cs="Arial"/>
          <w:lang w:val="sr-Latn-ME"/>
        </w:rPr>
        <w:t>4.2.Navesti ko su predviđeni glavni korisnici projekata i programa koji će se finansirati putem javnog konkursa. Ukratko navesti glavna obilježja svake grupe korisnika, njihov broj i njihove potrebe na koje projekti i programi treba da odgovore u</w:t>
      </w:r>
      <w:r>
        <w:rPr>
          <w:rFonts w:ascii="Arial" w:hAnsi="Arial" w:cs="Arial"/>
          <w:u w:val="single"/>
          <w:lang w:val="sr-Latn-ME"/>
        </w:rPr>
        <w:t xml:space="preserve"> 2026</w:t>
      </w:r>
      <w:r>
        <w:rPr>
          <w:rFonts w:ascii="Arial" w:hAnsi="Arial" w:cs="Arial"/>
          <w:lang w:val="sr-Latn-ME"/>
        </w:rPr>
        <w:t>. godini.</w:t>
      </w:r>
    </w:p>
    <w:tbl>
      <w:tblPr>
        <w:tblStyle w:val="TableGrid"/>
        <w:tblW w:w="14229" w:type="dxa"/>
        <w:tblInd w:w="792" w:type="dxa"/>
        <w:tblLook w:val="04A0" w:firstRow="1" w:lastRow="0" w:firstColumn="1" w:lastColumn="0" w:noHBand="0" w:noVBand="1"/>
      </w:tblPr>
      <w:tblGrid>
        <w:gridCol w:w="14229"/>
      </w:tblGrid>
      <w:tr w:rsidR="00E40D4B">
        <w:tc>
          <w:tcPr>
            <w:tcW w:w="14229"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Opis glavnih grupa korisnika, njihov broj i potrebe</w:t>
            </w:r>
          </w:p>
        </w:tc>
      </w:tr>
      <w:tr w:rsidR="00E40D4B">
        <w:tc>
          <w:tcPr>
            <w:tcW w:w="14229" w:type="dxa"/>
            <w:tcMar>
              <w:top w:w="57" w:type="dxa"/>
              <w:bottom w:w="57" w:type="dxa"/>
            </w:tcMar>
          </w:tcPr>
          <w:p w:rsidR="00E40D4B" w:rsidRDefault="00C0787B">
            <w:pPr>
              <w:rPr>
                <w:rFonts w:ascii="Arial" w:eastAsia="MS Mincho" w:hAnsi="Arial"/>
                <w:szCs w:val="20"/>
                <w:lang w:val="en-US"/>
              </w:rPr>
            </w:pPr>
            <w:r>
              <w:rPr>
                <w:rFonts w:ascii="Arial" w:eastAsia="MS Mincho" w:hAnsi="Arial"/>
                <w:szCs w:val="20"/>
                <w:lang w:val="en-US"/>
              </w:rPr>
              <w:t xml:space="preserve">Direktni korisnici projekata / 300 crnogorskih građana potrošača, kojima će se kroz pružanje informacija i savjetovanje u vezi sa njihovim pravima obezbijediti unapređenje i zaštita njihovih prava, a posredno, putem informacija koje budu plasirane u </w:t>
            </w:r>
            <w:proofErr w:type="gramStart"/>
            <w:r>
              <w:rPr>
                <w:rFonts w:ascii="Arial" w:eastAsia="MS Mincho" w:hAnsi="Arial"/>
                <w:szCs w:val="20"/>
                <w:lang w:val="en-US"/>
              </w:rPr>
              <w:t>medijima,  korisnici</w:t>
            </w:r>
            <w:proofErr w:type="gramEnd"/>
            <w:r>
              <w:rPr>
                <w:rFonts w:ascii="Arial" w:eastAsia="MS Mincho" w:hAnsi="Arial"/>
                <w:szCs w:val="20"/>
                <w:lang w:val="en-US"/>
              </w:rPr>
              <w:t xml:space="preserve"> projekta će biti širi krug crnogorskih građana, potrošača. </w:t>
            </w:r>
          </w:p>
          <w:p w:rsidR="00E40D4B" w:rsidRDefault="00C0787B">
            <w:pPr>
              <w:rPr>
                <w:rFonts w:ascii="Arial" w:eastAsia="MS Mincho" w:hAnsi="Arial" w:cs="Arial"/>
                <w:szCs w:val="20"/>
              </w:rPr>
            </w:pPr>
            <w:r>
              <w:rPr>
                <w:rFonts w:ascii="Arial" w:eastAsia="MS Mincho" w:hAnsi="Arial"/>
                <w:szCs w:val="20"/>
                <w:lang w:val="en-US"/>
              </w:rPr>
              <w:t>Lokalne samouprave / doprinos implementaciji politika i strateških mjera na lokalnom nivou, kroz otvaranje savjetovališta za zaštitu potrošača</w:t>
            </w:r>
          </w:p>
        </w:tc>
      </w:tr>
    </w:tbl>
    <w:p w:rsidR="00E40D4B" w:rsidRDefault="00E40D4B">
      <w:pPr>
        <w:rPr>
          <w:rFonts w:ascii="Arial" w:hAnsi="Arial" w:cs="Arial"/>
        </w:rPr>
      </w:pPr>
    </w:p>
    <w:p w:rsidR="00E40D4B" w:rsidRDefault="00C0787B">
      <w:pPr>
        <w:pStyle w:val="ListParagraph"/>
        <w:jc w:val="both"/>
        <w:rPr>
          <w:rFonts w:ascii="Arial" w:hAnsi="Arial" w:cs="Arial"/>
          <w:lang w:val="sr-Latn-ME"/>
        </w:rPr>
      </w:pPr>
      <w:r>
        <w:rPr>
          <w:rFonts w:ascii="Arial" w:hAnsi="Arial" w:cs="Arial"/>
          <w:lang w:val="sr-Latn-ME"/>
        </w:rPr>
        <w:lastRenderedPageBreak/>
        <w:t>4.3.Navesti očekivani ukupni broj ugovorenih projekata, odnosno ugovora koji se planira zaključiti s nevladinim organizacijama na osnovu javnog konkursa.</w:t>
      </w:r>
    </w:p>
    <w:tbl>
      <w:tblPr>
        <w:tblStyle w:val="TableGrid"/>
        <w:tblW w:w="14229" w:type="dxa"/>
        <w:tblInd w:w="792" w:type="dxa"/>
        <w:tblLook w:val="04A0" w:firstRow="1" w:lastRow="0" w:firstColumn="1" w:lastColumn="0" w:noHBand="0" w:noVBand="1"/>
      </w:tblPr>
      <w:tblGrid>
        <w:gridCol w:w="6884"/>
        <w:gridCol w:w="7345"/>
      </w:tblGrid>
      <w:tr w:rsidR="00E40D4B">
        <w:tc>
          <w:tcPr>
            <w:tcW w:w="14229"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Očekivani broj projekata koji se planira finansirati / broj ugovora koje se planira zaključiti s NVO</w:t>
            </w:r>
          </w:p>
        </w:tc>
      </w:tr>
      <w:tr w:rsidR="00E40D4B">
        <w:tc>
          <w:tcPr>
            <w:tcW w:w="6884" w:type="dxa"/>
            <w:tcBorders>
              <w:top w:val="single" w:sz="2" w:space="0" w:color="auto"/>
            </w:tcBorders>
            <w:shd w:val="clear" w:color="auto" w:fill="auto"/>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Naziv javnog konkursa: „</w:t>
            </w:r>
            <w:r>
              <w:rPr>
                <w:rFonts w:ascii="Arial" w:eastAsia="MS Mincho" w:hAnsi="Arial"/>
                <w:szCs w:val="20"/>
              </w:rPr>
              <w:t>Informisan i zaštićen potrošač – razvoj savremenog sistema zaštite prava potrošača</w:t>
            </w:r>
            <w:r>
              <w:rPr>
                <w:rFonts w:ascii="Arial" w:eastAsia="MS Mincho" w:hAnsi="Arial" w:cs="Arial"/>
                <w:szCs w:val="20"/>
                <w:lang w:val="en-US"/>
              </w:rPr>
              <w:t>”</w:t>
            </w:r>
          </w:p>
        </w:tc>
        <w:tc>
          <w:tcPr>
            <w:tcW w:w="7345" w:type="dxa"/>
            <w:tcBorders>
              <w:top w:val="single" w:sz="2" w:space="0" w:color="auto"/>
            </w:tcBorders>
            <w:shd w:val="clear" w:color="auto" w:fill="auto"/>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 xml:space="preserve">Broj planiranih projekata koji se planira finansirati, odnosno broj ugovora koji se planira zaključiti je </w:t>
            </w:r>
            <w:r w:rsidRPr="00A80394">
              <w:rPr>
                <w:rFonts w:ascii="Arial" w:eastAsia="MS Mincho" w:hAnsi="Arial" w:cs="Arial"/>
                <w:szCs w:val="20"/>
              </w:rPr>
              <w:t>osam (8)</w:t>
            </w:r>
          </w:p>
        </w:tc>
      </w:tr>
    </w:tbl>
    <w:p w:rsidR="00E40D4B" w:rsidRDefault="00E40D4B">
      <w:pPr>
        <w:rPr>
          <w:rFonts w:ascii="Arial" w:hAnsi="Arial" w:cs="Arial"/>
        </w:rPr>
      </w:pPr>
    </w:p>
    <w:p w:rsidR="00E40D4B" w:rsidRDefault="00C0787B">
      <w:pPr>
        <w:pStyle w:val="ListParagraph"/>
        <w:jc w:val="both"/>
        <w:rPr>
          <w:rFonts w:ascii="Arial" w:hAnsi="Arial" w:cs="Arial"/>
          <w:lang w:val="sr-Latn-ME"/>
        </w:rPr>
      </w:pPr>
      <w:r>
        <w:rPr>
          <w:rFonts w:ascii="Arial" w:hAnsi="Arial" w:cs="Arial"/>
          <w:lang w:val="sr-Latn-ME"/>
        </w:rPr>
        <w:t>4.4.Navesti najviši i najniži iznosi finansijske podrške koju će biti moguće ostvariti na osnovu pojedinačnog javnog konkursa navedenog u tački 4.1.</w:t>
      </w:r>
    </w:p>
    <w:tbl>
      <w:tblPr>
        <w:tblStyle w:val="TableGrid"/>
        <w:tblW w:w="14229" w:type="dxa"/>
        <w:tblInd w:w="792" w:type="dxa"/>
        <w:tblLook w:val="04A0" w:firstRow="1" w:lastRow="0" w:firstColumn="1" w:lastColumn="0" w:noHBand="0" w:noVBand="1"/>
      </w:tblPr>
      <w:tblGrid>
        <w:gridCol w:w="6876"/>
        <w:gridCol w:w="7353"/>
      </w:tblGrid>
      <w:tr w:rsidR="00E40D4B">
        <w:trPr>
          <w:trHeight w:val="372"/>
        </w:trPr>
        <w:tc>
          <w:tcPr>
            <w:tcW w:w="14229" w:type="dxa"/>
            <w:gridSpan w:val="2"/>
            <w:tcBorders>
              <w:top w:val="single" w:sz="18" w:space="0" w:color="auto"/>
            </w:tcBorders>
            <w:shd w:val="clear" w:color="auto" w:fill="F2F2F2" w:themeFill="background1" w:themeFillShade="F2"/>
          </w:tcPr>
          <w:p w:rsidR="00E40D4B" w:rsidRDefault="00C0787B">
            <w:pPr>
              <w:rPr>
                <w:rFonts w:ascii="Arial" w:eastAsia="MS Mincho" w:hAnsi="Arial" w:cs="Arial"/>
                <w:szCs w:val="20"/>
              </w:rPr>
            </w:pPr>
            <w:r>
              <w:rPr>
                <w:rFonts w:ascii="Arial" w:eastAsia="MS Mincho" w:hAnsi="Arial" w:cs="Arial"/>
                <w:szCs w:val="20"/>
              </w:rPr>
              <w:t>Naziv javnog konkursa:</w:t>
            </w:r>
          </w:p>
        </w:tc>
      </w:tr>
      <w:tr w:rsidR="00E40D4B">
        <w:tc>
          <w:tcPr>
            <w:tcW w:w="6876" w:type="dxa"/>
          </w:tcPr>
          <w:p w:rsidR="00E40D4B" w:rsidRDefault="00C0787B">
            <w:pPr>
              <w:rPr>
                <w:rFonts w:ascii="Arial" w:eastAsia="MS Mincho" w:hAnsi="Arial" w:cs="Arial"/>
                <w:szCs w:val="20"/>
              </w:rPr>
            </w:pPr>
            <w:r>
              <w:rPr>
                <w:rFonts w:ascii="Arial" w:eastAsia="MS Mincho" w:hAnsi="Arial" w:cs="Arial"/>
                <w:szCs w:val="20"/>
              </w:rPr>
              <w:t xml:space="preserve">Najniži iznos finansijske podrške koju će biti moguće ostvariti na osnovu javnog konkursa: </w:t>
            </w:r>
            <w:r w:rsidRPr="00A80394">
              <w:rPr>
                <w:rFonts w:ascii="Arial" w:eastAsia="MS Mincho" w:hAnsi="Arial" w:cs="Arial"/>
                <w:szCs w:val="20"/>
              </w:rPr>
              <w:t>7.</w:t>
            </w:r>
            <w:r w:rsidR="00A80394" w:rsidRPr="00A80394">
              <w:rPr>
                <w:rFonts w:ascii="Arial" w:eastAsia="MS Mincho" w:hAnsi="Arial" w:cs="Arial"/>
                <w:szCs w:val="20"/>
              </w:rPr>
              <w:t>5</w:t>
            </w:r>
            <w:r w:rsidRPr="00A80394">
              <w:rPr>
                <w:rFonts w:ascii="Arial" w:eastAsia="MS Mincho" w:hAnsi="Arial" w:cs="Arial"/>
                <w:szCs w:val="20"/>
              </w:rPr>
              <w:t>00,00 EURA</w:t>
            </w:r>
          </w:p>
          <w:p w:rsidR="00E40D4B" w:rsidRDefault="00E40D4B">
            <w:pPr>
              <w:rPr>
                <w:rFonts w:ascii="Arial" w:eastAsia="MS Mincho" w:hAnsi="Arial" w:cs="Arial"/>
                <w:szCs w:val="20"/>
              </w:rPr>
            </w:pPr>
          </w:p>
        </w:tc>
        <w:tc>
          <w:tcPr>
            <w:tcW w:w="7353" w:type="dxa"/>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 xml:space="preserve">Najviši iznos finansijske podrške koju će biti moguće ostvariti na osnovu javnog konkursa: </w:t>
            </w:r>
            <w:r w:rsidRPr="00A80394">
              <w:rPr>
                <w:rFonts w:ascii="Arial" w:eastAsia="MS Mincho" w:hAnsi="Arial" w:cs="Arial"/>
                <w:szCs w:val="20"/>
              </w:rPr>
              <w:t>12.000,00 EURA</w:t>
            </w:r>
          </w:p>
        </w:tc>
      </w:tr>
    </w:tbl>
    <w:p w:rsidR="00E40D4B" w:rsidRDefault="00E40D4B">
      <w:pPr>
        <w:rPr>
          <w:rFonts w:ascii="Arial" w:hAnsi="Arial" w:cs="Arial"/>
        </w:rPr>
      </w:pPr>
    </w:p>
    <w:p w:rsidR="00E40D4B" w:rsidRDefault="00C0787B">
      <w:pPr>
        <w:rPr>
          <w:rFonts w:ascii="Arial" w:hAnsi="Arial" w:cs="Arial"/>
          <w:b/>
          <w:i/>
        </w:rPr>
      </w:pPr>
      <w:r>
        <w:rPr>
          <w:rFonts w:ascii="Arial" w:hAnsi="Arial" w:cs="Arial"/>
          <w:b/>
        </w:rPr>
        <w:t>NAPOMENA:</w:t>
      </w:r>
      <w:r>
        <w:rPr>
          <w:rFonts w:ascii="Arial" w:hAnsi="Arial" w:cs="Arial"/>
        </w:rPr>
        <w:t xml:space="preserve"> stavom 4 člana 32ž Zakona o NVO, definisano je: </w:t>
      </w:r>
      <w:r>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E40D4B" w:rsidRDefault="00E40D4B">
      <w:pPr>
        <w:rPr>
          <w:rFonts w:ascii="Arial" w:hAnsi="Arial" w:cs="Arial"/>
          <w:b/>
          <w:i/>
        </w:rPr>
      </w:pPr>
    </w:p>
    <w:p w:rsidR="002032BE" w:rsidRDefault="002032BE">
      <w:pPr>
        <w:rPr>
          <w:rFonts w:ascii="Arial" w:hAnsi="Arial" w:cs="Arial"/>
          <w:b/>
          <w:i/>
        </w:rPr>
      </w:pPr>
    </w:p>
    <w:p w:rsidR="002032BE" w:rsidRDefault="002032BE">
      <w:pPr>
        <w:rPr>
          <w:rFonts w:ascii="Arial" w:hAnsi="Arial" w:cs="Arial"/>
          <w:b/>
          <w:i/>
        </w:rPr>
      </w:pPr>
    </w:p>
    <w:p w:rsidR="002032BE" w:rsidRDefault="002032BE">
      <w:pPr>
        <w:rPr>
          <w:rFonts w:ascii="Arial" w:hAnsi="Arial" w:cs="Arial"/>
          <w:b/>
          <w:i/>
        </w:rPr>
      </w:pPr>
    </w:p>
    <w:p w:rsidR="00E40D4B" w:rsidRDefault="00C0787B">
      <w:pPr>
        <w:pStyle w:val="ListParagraph"/>
        <w:numPr>
          <w:ilvl w:val="0"/>
          <w:numId w:val="8"/>
        </w:numPr>
        <w:jc w:val="both"/>
        <w:rPr>
          <w:rFonts w:ascii="Arial" w:hAnsi="Arial" w:cs="Arial"/>
          <w:b/>
          <w:lang w:val="sr-Latn-ME"/>
        </w:rPr>
      </w:pPr>
      <w:r>
        <w:rPr>
          <w:rFonts w:ascii="Arial" w:hAnsi="Arial" w:cs="Arial"/>
          <w:b/>
          <w:lang w:val="sr-Latn-ME"/>
        </w:rPr>
        <w:lastRenderedPageBreak/>
        <w:t>KONSULTACIJE SA ZAINTERESOVANIM NEVLADINIM ORGANIZACIJAMA</w:t>
      </w:r>
    </w:p>
    <w:p w:rsidR="002032BE" w:rsidRDefault="002032BE">
      <w:pPr>
        <w:pStyle w:val="ListParagraph"/>
        <w:jc w:val="both"/>
        <w:rPr>
          <w:rFonts w:ascii="Arial" w:hAnsi="Arial" w:cs="Arial"/>
          <w:lang w:val="sr-Latn-ME"/>
        </w:rPr>
      </w:pPr>
    </w:p>
    <w:p w:rsidR="00E40D4B" w:rsidRDefault="00C0787B">
      <w:pPr>
        <w:pStyle w:val="ListParagraph"/>
        <w:jc w:val="both"/>
        <w:rPr>
          <w:rFonts w:ascii="Arial" w:hAnsi="Arial" w:cs="Arial"/>
          <w:lang w:val="sr-Latn-ME"/>
        </w:rPr>
      </w:pPr>
      <w:r>
        <w:rPr>
          <w:rFonts w:ascii="Arial" w:hAnsi="Arial" w:cs="Arial"/>
          <w:lang w:val="sr-Latn-ME"/>
        </w:rPr>
        <w:t>5.1. Navesti na koji način je u skladu sa važećim propisima obavljen proces konsultovanja NVO u procesu pripreme sektorske analize.</w:t>
      </w:r>
    </w:p>
    <w:tbl>
      <w:tblPr>
        <w:tblStyle w:val="TableGrid"/>
        <w:tblW w:w="14229" w:type="dxa"/>
        <w:tblInd w:w="792" w:type="dxa"/>
        <w:tblLook w:val="04A0" w:firstRow="1" w:lastRow="0" w:firstColumn="1" w:lastColumn="0" w:noHBand="0" w:noVBand="1"/>
      </w:tblPr>
      <w:tblGrid>
        <w:gridCol w:w="4582"/>
        <w:gridCol w:w="4582"/>
        <w:gridCol w:w="5065"/>
      </w:tblGrid>
      <w:tr w:rsidR="00E40D4B">
        <w:tc>
          <w:tcPr>
            <w:tcW w:w="4582"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t>Datumi sprovedenih konsultacija</w:t>
            </w:r>
          </w:p>
        </w:tc>
        <w:tc>
          <w:tcPr>
            <w:tcW w:w="5065" w:type="dxa"/>
            <w:tcBorders>
              <w:top w:val="single" w:sz="18" w:space="0" w:color="auto"/>
              <w:left w:val="single" w:sz="2" w:space="0" w:color="auto"/>
            </w:tcBorders>
            <w:shd w:val="clear" w:color="auto" w:fill="F2F2F2" w:themeFill="background1" w:themeFillShade="F2"/>
          </w:tcPr>
          <w:p w:rsidR="00E40D4B" w:rsidRDefault="00C0787B">
            <w:pPr>
              <w:rPr>
                <w:rFonts w:ascii="Arial" w:eastAsia="MS Mincho" w:hAnsi="Arial" w:cs="Arial"/>
                <w:szCs w:val="20"/>
              </w:rPr>
            </w:pPr>
            <w:r>
              <w:rPr>
                <w:rFonts w:ascii="Arial" w:eastAsia="MS Mincho" w:hAnsi="Arial" w:cs="Arial"/>
                <w:szCs w:val="20"/>
              </w:rPr>
              <w:t>Naziv  NVO koje su učestvovale u konsultacijama</w:t>
            </w:r>
          </w:p>
        </w:tc>
      </w:tr>
      <w:tr w:rsidR="00E40D4B">
        <w:tc>
          <w:tcPr>
            <w:tcW w:w="4582" w:type="dxa"/>
            <w:tcMar>
              <w:top w:w="57" w:type="dxa"/>
              <w:bottom w:w="57" w:type="dxa"/>
            </w:tcMar>
          </w:tcPr>
          <w:p w:rsidR="00E40D4B" w:rsidRDefault="00E40D4B">
            <w:pPr>
              <w:rPr>
                <w:rFonts w:ascii="Arial" w:eastAsia="MS Mincho" w:hAnsi="Arial" w:cs="Arial"/>
                <w:szCs w:val="20"/>
              </w:rPr>
            </w:pPr>
          </w:p>
        </w:tc>
        <w:tc>
          <w:tcPr>
            <w:tcW w:w="4582" w:type="dxa"/>
            <w:tcBorders>
              <w:right w:val="single" w:sz="2" w:space="0" w:color="auto"/>
            </w:tcBorders>
            <w:tcMar>
              <w:top w:w="57" w:type="dxa"/>
              <w:bottom w:w="57" w:type="dxa"/>
            </w:tcMar>
          </w:tcPr>
          <w:p w:rsidR="00E40D4B" w:rsidRDefault="00E40D4B">
            <w:pPr>
              <w:rPr>
                <w:rFonts w:ascii="Arial" w:eastAsia="MS Mincho" w:hAnsi="Arial" w:cs="Arial"/>
                <w:szCs w:val="20"/>
              </w:rPr>
            </w:pPr>
          </w:p>
        </w:tc>
        <w:tc>
          <w:tcPr>
            <w:tcW w:w="5065" w:type="dxa"/>
            <w:tcBorders>
              <w:left w:val="single" w:sz="2" w:space="0" w:color="auto"/>
            </w:tcBorders>
          </w:tcPr>
          <w:p w:rsidR="00E40D4B" w:rsidRDefault="00E40D4B">
            <w:pPr>
              <w:rPr>
                <w:rFonts w:ascii="Arial" w:eastAsia="MS Mincho" w:hAnsi="Arial" w:cs="Arial"/>
                <w:szCs w:val="20"/>
              </w:rPr>
            </w:pPr>
          </w:p>
        </w:tc>
      </w:tr>
      <w:tr w:rsidR="00E40D4B">
        <w:tc>
          <w:tcPr>
            <w:tcW w:w="4582" w:type="dxa"/>
            <w:tcMar>
              <w:top w:w="57" w:type="dxa"/>
              <w:bottom w:w="57" w:type="dxa"/>
            </w:tcMar>
          </w:tcPr>
          <w:p w:rsidR="00E40D4B" w:rsidRDefault="00E40D4B">
            <w:pPr>
              <w:rPr>
                <w:rFonts w:ascii="Arial" w:eastAsia="MS Mincho" w:hAnsi="Arial" w:cs="Arial"/>
                <w:szCs w:val="20"/>
                <w:lang w:val="en-US"/>
              </w:rPr>
            </w:pPr>
          </w:p>
        </w:tc>
        <w:tc>
          <w:tcPr>
            <w:tcW w:w="4582" w:type="dxa"/>
            <w:tcBorders>
              <w:right w:val="single" w:sz="2" w:space="0" w:color="auto"/>
            </w:tcBorders>
            <w:tcMar>
              <w:top w:w="57" w:type="dxa"/>
              <w:bottom w:w="57" w:type="dxa"/>
            </w:tcMar>
          </w:tcPr>
          <w:p w:rsidR="00E40D4B" w:rsidRDefault="00E40D4B">
            <w:pPr>
              <w:rPr>
                <w:rFonts w:ascii="Arial" w:eastAsia="MS Mincho" w:hAnsi="Arial" w:cs="Arial"/>
                <w:szCs w:val="20"/>
                <w:lang w:val="en-US"/>
              </w:rPr>
            </w:pPr>
          </w:p>
        </w:tc>
        <w:tc>
          <w:tcPr>
            <w:tcW w:w="5065" w:type="dxa"/>
            <w:tcBorders>
              <w:left w:val="single" w:sz="2" w:space="0" w:color="auto"/>
            </w:tcBorders>
          </w:tcPr>
          <w:p w:rsidR="00E40D4B" w:rsidRDefault="00E40D4B">
            <w:pPr>
              <w:rPr>
                <w:rFonts w:ascii="Arial" w:eastAsia="MS Mincho" w:hAnsi="Arial" w:cs="Arial"/>
                <w:szCs w:val="20"/>
                <w:lang w:val="en-US"/>
              </w:rPr>
            </w:pPr>
          </w:p>
        </w:tc>
      </w:tr>
      <w:tr w:rsidR="00E40D4B">
        <w:tc>
          <w:tcPr>
            <w:tcW w:w="4582" w:type="dxa"/>
            <w:tcMar>
              <w:top w:w="57" w:type="dxa"/>
              <w:bottom w:w="57" w:type="dxa"/>
            </w:tcMar>
          </w:tcPr>
          <w:p w:rsidR="00E40D4B" w:rsidRDefault="00E40D4B">
            <w:pPr>
              <w:rPr>
                <w:rFonts w:ascii="Arial" w:eastAsia="MS Mincho" w:hAnsi="Arial" w:cs="Arial"/>
                <w:szCs w:val="20"/>
              </w:rPr>
            </w:pPr>
          </w:p>
        </w:tc>
        <w:tc>
          <w:tcPr>
            <w:tcW w:w="4582" w:type="dxa"/>
            <w:tcBorders>
              <w:right w:val="single" w:sz="2" w:space="0" w:color="auto"/>
            </w:tcBorders>
            <w:tcMar>
              <w:top w:w="57" w:type="dxa"/>
              <w:bottom w:w="57" w:type="dxa"/>
            </w:tcMar>
          </w:tcPr>
          <w:p w:rsidR="00E40D4B" w:rsidRDefault="00E40D4B">
            <w:pPr>
              <w:rPr>
                <w:rFonts w:ascii="Arial" w:eastAsia="MS Mincho" w:hAnsi="Arial" w:cs="Arial"/>
                <w:szCs w:val="20"/>
              </w:rPr>
            </w:pPr>
          </w:p>
        </w:tc>
        <w:tc>
          <w:tcPr>
            <w:tcW w:w="5065" w:type="dxa"/>
            <w:tcBorders>
              <w:left w:val="single" w:sz="2" w:space="0" w:color="auto"/>
            </w:tcBorders>
          </w:tcPr>
          <w:p w:rsidR="00E40D4B" w:rsidRDefault="00E40D4B">
            <w:pPr>
              <w:rPr>
                <w:rFonts w:ascii="Arial" w:eastAsia="MS Mincho" w:hAnsi="Arial" w:cs="Arial"/>
                <w:szCs w:val="20"/>
              </w:rPr>
            </w:pPr>
          </w:p>
        </w:tc>
      </w:tr>
      <w:tr w:rsidR="00E40D4B">
        <w:tc>
          <w:tcPr>
            <w:tcW w:w="4582" w:type="dxa"/>
            <w:tcMar>
              <w:top w:w="57" w:type="dxa"/>
              <w:bottom w:w="57" w:type="dxa"/>
            </w:tcMar>
          </w:tcPr>
          <w:p w:rsidR="00E40D4B" w:rsidRDefault="00E40D4B">
            <w:pPr>
              <w:rPr>
                <w:rFonts w:ascii="Arial" w:eastAsia="MS Mincho" w:hAnsi="Arial" w:cs="Arial"/>
                <w:szCs w:val="20"/>
              </w:rPr>
            </w:pPr>
          </w:p>
        </w:tc>
        <w:tc>
          <w:tcPr>
            <w:tcW w:w="4582" w:type="dxa"/>
            <w:tcBorders>
              <w:right w:val="single" w:sz="2" w:space="0" w:color="auto"/>
            </w:tcBorders>
            <w:tcMar>
              <w:top w:w="57" w:type="dxa"/>
              <w:bottom w:w="57" w:type="dxa"/>
            </w:tcMar>
          </w:tcPr>
          <w:p w:rsidR="00E40D4B" w:rsidRDefault="00E40D4B">
            <w:pPr>
              <w:rPr>
                <w:rFonts w:ascii="Arial" w:eastAsia="MS Mincho" w:hAnsi="Arial" w:cs="Arial"/>
                <w:szCs w:val="20"/>
              </w:rPr>
            </w:pPr>
          </w:p>
        </w:tc>
        <w:tc>
          <w:tcPr>
            <w:tcW w:w="5065" w:type="dxa"/>
            <w:tcBorders>
              <w:left w:val="single" w:sz="2" w:space="0" w:color="auto"/>
            </w:tcBorders>
          </w:tcPr>
          <w:p w:rsidR="00E40D4B" w:rsidRDefault="00E40D4B">
            <w:pPr>
              <w:rPr>
                <w:rFonts w:ascii="Arial" w:eastAsia="MS Mincho" w:hAnsi="Arial" w:cs="Arial"/>
                <w:szCs w:val="20"/>
              </w:rPr>
            </w:pPr>
          </w:p>
        </w:tc>
      </w:tr>
    </w:tbl>
    <w:p w:rsidR="00E40D4B" w:rsidRDefault="00E40D4B">
      <w:pPr>
        <w:rPr>
          <w:rFonts w:ascii="Arial" w:hAnsi="Arial" w:cs="Arial"/>
        </w:rPr>
      </w:pPr>
    </w:p>
    <w:p w:rsidR="00E40D4B" w:rsidRDefault="00E40D4B">
      <w:pPr>
        <w:rPr>
          <w:rFonts w:ascii="Arial" w:hAnsi="Arial" w:cs="Arial"/>
        </w:rPr>
      </w:pPr>
    </w:p>
    <w:p w:rsidR="00E40D4B" w:rsidRDefault="00E40D4B">
      <w:pPr>
        <w:rPr>
          <w:rFonts w:ascii="Arial" w:hAnsi="Arial" w:cs="Arial"/>
        </w:rPr>
      </w:pPr>
    </w:p>
    <w:p w:rsidR="00E40D4B" w:rsidRDefault="00E40D4B">
      <w:pPr>
        <w:rPr>
          <w:rFonts w:ascii="Arial" w:hAnsi="Arial" w:cs="Arial"/>
        </w:rPr>
      </w:pPr>
    </w:p>
    <w:p w:rsidR="00E40D4B" w:rsidRDefault="00C0787B">
      <w:pPr>
        <w:pStyle w:val="ListParagraph"/>
        <w:numPr>
          <w:ilvl w:val="0"/>
          <w:numId w:val="8"/>
        </w:numPr>
        <w:rPr>
          <w:rFonts w:ascii="Arial" w:hAnsi="Arial" w:cs="Arial"/>
          <w:b/>
          <w:lang w:val="sr-Latn-ME"/>
        </w:rPr>
      </w:pPr>
      <w:r>
        <w:rPr>
          <w:rFonts w:ascii="Arial" w:hAnsi="Arial" w:cs="Arial"/>
          <w:b/>
          <w:lang w:val="sr-Latn-ME"/>
        </w:rPr>
        <w:t>KAPACITETI ZA SPROVOĐENJE JAVNOG KONKURSA</w:t>
      </w:r>
    </w:p>
    <w:p w:rsidR="00E40D4B" w:rsidRDefault="00C0787B">
      <w:pPr>
        <w:pStyle w:val="ListParagraph"/>
        <w:rPr>
          <w:rFonts w:ascii="Arial" w:hAnsi="Arial" w:cs="Arial"/>
          <w:lang w:val="sr-Latn-ME"/>
        </w:rPr>
      </w:pPr>
      <w:r>
        <w:rPr>
          <w:rFonts w:ascii="Arial" w:hAnsi="Arial" w:cs="Arial"/>
          <w:lang w:val="sr-Latn-ME"/>
        </w:rPr>
        <w:t xml:space="preserve">6.1.Navesti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7723"/>
      </w:tblGrid>
      <w:tr w:rsidR="00E40D4B">
        <w:trPr>
          <w:jc w:val="center"/>
        </w:trPr>
        <w:tc>
          <w:tcPr>
            <w:tcW w:w="3436" w:type="dxa"/>
            <w:tcBorders>
              <w:top w:val="single" w:sz="18" w:space="0" w:color="auto"/>
            </w:tcBorders>
            <w:shd w:val="clear" w:color="auto" w:fill="F2F2F2" w:themeFill="background1" w:themeFillShade="F2"/>
            <w:tcMar>
              <w:top w:w="57" w:type="dxa"/>
              <w:bottom w:w="57" w:type="dxa"/>
            </w:tcMar>
          </w:tcPr>
          <w:p w:rsidR="00E40D4B" w:rsidRDefault="00C0787B">
            <w:pPr>
              <w:rPr>
                <w:rFonts w:ascii="Arial" w:eastAsia="MS Mincho" w:hAnsi="Arial" w:cs="Arial"/>
                <w:szCs w:val="20"/>
              </w:rPr>
            </w:pPr>
            <w:r>
              <w:rPr>
                <w:rFonts w:ascii="Arial" w:eastAsia="MS Mincho" w:hAnsi="Arial" w:cs="Arial"/>
                <w:szCs w:val="20"/>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E40D4B" w:rsidRDefault="00C0787B">
            <w:pPr>
              <w:jc w:val="left"/>
              <w:rPr>
                <w:rFonts w:ascii="Arial" w:eastAsia="MS Mincho" w:hAnsi="Arial" w:cs="Arial"/>
                <w:szCs w:val="20"/>
              </w:rPr>
            </w:pPr>
            <w:r>
              <w:rPr>
                <w:rFonts w:ascii="Arial" w:eastAsia="MS Mincho" w:hAnsi="Arial" w:cs="Arial"/>
                <w:szCs w:val="20"/>
              </w:rPr>
              <w:t>Broj službenika/ica zaduženih za sprovođenje javnog konkursa i praćenje finansiranih projekata i programa nevladinih organizacija</w:t>
            </w:r>
          </w:p>
        </w:tc>
        <w:tc>
          <w:tcPr>
            <w:tcW w:w="7723" w:type="dxa"/>
            <w:tcBorders>
              <w:top w:val="single" w:sz="18" w:space="0" w:color="auto"/>
              <w:left w:val="single" w:sz="2" w:space="0" w:color="auto"/>
            </w:tcBorders>
            <w:shd w:val="clear" w:color="auto" w:fill="F2F2F2" w:themeFill="background1" w:themeFillShade="F2"/>
          </w:tcPr>
          <w:p w:rsidR="00E40D4B" w:rsidRDefault="00C0787B">
            <w:pPr>
              <w:jc w:val="left"/>
              <w:rPr>
                <w:rFonts w:ascii="Arial" w:eastAsia="MS Mincho" w:hAnsi="Arial" w:cs="Arial"/>
                <w:szCs w:val="20"/>
              </w:rPr>
            </w:pPr>
            <w:r>
              <w:rPr>
                <w:rFonts w:ascii="Arial" w:eastAsia="MS Mincho" w:hAnsi="Arial" w:cs="Arial"/>
                <w:szCs w:val="20"/>
              </w:rPr>
              <w:t>Imena službenika/ica zaduženih za sprovođenje javnog konkursa i praćenje finansiranih projekata i programa nevladinih organizacija</w:t>
            </w:r>
          </w:p>
        </w:tc>
      </w:tr>
      <w:tr w:rsidR="00E40D4B">
        <w:trPr>
          <w:jc w:val="center"/>
        </w:trPr>
        <w:tc>
          <w:tcPr>
            <w:tcW w:w="3436" w:type="dxa"/>
            <w:tcMar>
              <w:top w:w="57" w:type="dxa"/>
              <w:bottom w:w="57" w:type="dxa"/>
            </w:tcMar>
          </w:tcPr>
          <w:p w:rsidR="00E40D4B" w:rsidRDefault="00A80394">
            <w:pPr>
              <w:rPr>
                <w:rFonts w:ascii="Arial" w:eastAsia="MS Mincho" w:hAnsi="Arial" w:cs="Arial"/>
                <w:szCs w:val="20"/>
                <w:lang w:val="en-US"/>
              </w:rPr>
            </w:pPr>
            <w:r w:rsidRPr="00A80394">
              <w:rPr>
                <w:rFonts w:ascii="Arial" w:eastAsia="MS Mincho" w:hAnsi="Arial" w:cs="Arial"/>
                <w:szCs w:val="20"/>
              </w:rPr>
              <w:t>„Informisan i zaštićen potrošač – razvoj savremenog sistema zaštite prava potrošača”</w:t>
            </w:r>
          </w:p>
        </w:tc>
        <w:tc>
          <w:tcPr>
            <w:tcW w:w="3437" w:type="dxa"/>
            <w:tcBorders>
              <w:right w:val="single" w:sz="2" w:space="0" w:color="auto"/>
            </w:tcBorders>
            <w:tcMar>
              <w:top w:w="57" w:type="dxa"/>
              <w:bottom w:w="57" w:type="dxa"/>
            </w:tcMar>
          </w:tcPr>
          <w:p w:rsidR="00E40D4B" w:rsidRDefault="00A80394">
            <w:pPr>
              <w:rPr>
                <w:rFonts w:ascii="Arial" w:eastAsia="MS Mincho" w:hAnsi="Arial" w:cs="Arial"/>
                <w:szCs w:val="20"/>
              </w:rPr>
            </w:pPr>
            <w:r>
              <w:rPr>
                <w:rFonts w:ascii="Arial" w:eastAsia="MS Mincho" w:hAnsi="Arial" w:cs="Arial"/>
                <w:szCs w:val="20"/>
                <w:lang w:val="en-US"/>
              </w:rPr>
              <w:t>2</w:t>
            </w:r>
          </w:p>
        </w:tc>
        <w:tc>
          <w:tcPr>
            <w:tcW w:w="7723" w:type="dxa"/>
            <w:tcBorders>
              <w:left w:val="single" w:sz="2" w:space="0" w:color="auto"/>
            </w:tcBorders>
          </w:tcPr>
          <w:p w:rsidR="00E40D4B" w:rsidRDefault="00A80394">
            <w:pPr>
              <w:rPr>
                <w:rFonts w:ascii="Arial" w:eastAsia="MS Mincho" w:hAnsi="Arial" w:cs="Arial"/>
                <w:szCs w:val="20"/>
              </w:rPr>
            </w:pPr>
            <w:r>
              <w:rPr>
                <w:rFonts w:ascii="Arial" w:eastAsia="MS Mincho" w:hAnsi="Arial" w:cs="Arial"/>
                <w:szCs w:val="20"/>
              </w:rPr>
              <w:t>Jasna Vujović</w:t>
            </w:r>
          </w:p>
        </w:tc>
      </w:tr>
      <w:tr w:rsidR="00E40D4B">
        <w:trPr>
          <w:jc w:val="center"/>
        </w:trPr>
        <w:tc>
          <w:tcPr>
            <w:tcW w:w="3436" w:type="dxa"/>
            <w:tcMar>
              <w:top w:w="57" w:type="dxa"/>
              <w:bottom w:w="57" w:type="dxa"/>
            </w:tcMar>
          </w:tcPr>
          <w:p w:rsidR="00E40D4B" w:rsidRDefault="00E40D4B">
            <w:pPr>
              <w:rPr>
                <w:rFonts w:ascii="Arial" w:eastAsia="MS Mincho" w:hAnsi="Arial" w:cs="Arial"/>
                <w:szCs w:val="20"/>
              </w:rPr>
            </w:pPr>
          </w:p>
        </w:tc>
        <w:tc>
          <w:tcPr>
            <w:tcW w:w="3437" w:type="dxa"/>
            <w:tcBorders>
              <w:right w:val="single" w:sz="2" w:space="0" w:color="auto"/>
            </w:tcBorders>
            <w:tcMar>
              <w:top w:w="57" w:type="dxa"/>
              <w:bottom w:w="57" w:type="dxa"/>
            </w:tcMar>
          </w:tcPr>
          <w:p w:rsidR="00E40D4B" w:rsidRDefault="00E40D4B">
            <w:pPr>
              <w:rPr>
                <w:rFonts w:ascii="Arial" w:eastAsia="MS Mincho" w:hAnsi="Arial" w:cs="Arial"/>
                <w:szCs w:val="20"/>
              </w:rPr>
            </w:pPr>
          </w:p>
        </w:tc>
        <w:tc>
          <w:tcPr>
            <w:tcW w:w="7723" w:type="dxa"/>
            <w:tcBorders>
              <w:left w:val="single" w:sz="2" w:space="0" w:color="auto"/>
            </w:tcBorders>
          </w:tcPr>
          <w:p w:rsidR="00E40D4B" w:rsidRDefault="00A80394">
            <w:pPr>
              <w:rPr>
                <w:rFonts w:ascii="Arial" w:eastAsia="MS Mincho" w:hAnsi="Arial" w:cs="Arial"/>
                <w:szCs w:val="20"/>
              </w:rPr>
            </w:pPr>
            <w:r>
              <w:rPr>
                <w:rFonts w:ascii="Arial" w:eastAsia="MS Mincho" w:hAnsi="Arial" w:cs="Arial"/>
                <w:szCs w:val="20"/>
              </w:rPr>
              <w:t>Danijela Popović</w:t>
            </w:r>
          </w:p>
        </w:tc>
      </w:tr>
      <w:tr w:rsidR="00E40D4B">
        <w:trPr>
          <w:jc w:val="center"/>
        </w:trPr>
        <w:tc>
          <w:tcPr>
            <w:tcW w:w="3436" w:type="dxa"/>
            <w:tcMar>
              <w:top w:w="57" w:type="dxa"/>
              <w:bottom w:w="57" w:type="dxa"/>
            </w:tcMar>
          </w:tcPr>
          <w:p w:rsidR="00E40D4B" w:rsidRDefault="00E40D4B">
            <w:pPr>
              <w:rPr>
                <w:rFonts w:ascii="Arial" w:eastAsia="MS Mincho" w:hAnsi="Arial" w:cs="Arial"/>
                <w:szCs w:val="20"/>
                <w:lang w:val="en-US"/>
              </w:rPr>
            </w:pPr>
          </w:p>
        </w:tc>
        <w:tc>
          <w:tcPr>
            <w:tcW w:w="3437" w:type="dxa"/>
            <w:tcBorders>
              <w:right w:val="single" w:sz="2" w:space="0" w:color="auto"/>
            </w:tcBorders>
            <w:tcMar>
              <w:top w:w="57" w:type="dxa"/>
              <w:bottom w:w="57" w:type="dxa"/>
            </w:tcMar>
          </w:tcPr>
          <w:p w:rsidR="00E40D4B" w:rsidRDefault="00E40D4B">
            <w:pPr>
              <w:rPr>
                <w:rFonts w:ascii="Arial" w:eastAsia="MS Mincho" w:hAnsi="Arial" w:cs="Arial"/>
                <w:szCs w:val="20"/>
                <w:lang w:val="en-US"/>
              </w:rPr>
            </w:pPr>
          </w:p>
        </w:tc>
        <w:tc>
          <w:tcPr>
            <w:tcW w:w="7723" w:type="dxa"/>
            <w:tcBorders>
              <w:left w:val="single" w:sz="2" w:space="0" w:color="auto"/>
            </w:tcBorders>
          </w:tcPr>
          <w:p w:rsidR="00E40D4B" w:rsidRDefault="00E40D4B">
            <w:pPr>
              <w:rPr>
                <w:rFonts w:ascii="Arial" w:eastAsia="MS Mincho" w:hAnsi="Arial" w:cs="Arial"/>
                <w:szCs w:val="20"/>
              </w:rPr>
            </w:pPr>
          </w:p>
        </w:tc>
      </w:tr>
    </w:tbl>
    <w:p w:rsidR="00E40D4B" w:rsidRDefault="00E40D4B">
      <w:pPr>
        <w:rPr>
          <w:rFonts w:ascii="Arial" w:hAnsi="Arial" w:cs="Arial"/>
        </w:rPr>
      </w:pPr>
    </w:p>
    <w:p w:rsidR="00E40D4B" w:rsidRDefault="00E40D4B">
      <w:pPr>
        <w:rPr>
          <w:rFonts w:ascii="Arial" w:hAnsi="Arial" w:cs="Arial"/>
        </w:rPr>
      </w:pPr>
    </w:p>
    <w:p w:rsidR="00E40D4B" w:rsidRDefault="00E40D4B">
      <w:pPr>
        <w:rPr>
          <w:rFonts w:ascii="Arial" w:hAnsi="Arial" w:cs="Arial"/>
        </w:rPr>
      </w:pPr>
    </w:p>
    <w:p w:rsidR="00E40D4B" w:rsidRDefault="00C0787B">
      <w:pPr>
        <w:jc w:val="center"/>
        <w:rPr>
          <w:rFonts w:ascii="Arial" w:hAnsi="Arial" w:cs="Arial"/>
          <w:b/>
        </w:rPr>
      </w:pPr>
      <w:r>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E40D4B">
        <w:tc>
          <w:tcPr>
            <w:tcW w:w="284" w:type="dxa"/>
            <w:tcBorders>
              <w:top w:val="single" w:sz="18" w:space="0" w:color="auto"/>
              <w:left w:val="single" w:sz="18" w:space="0" w:color="auto"/>
              <w:bottom w:val="nil"/>
            </w:tcBorders>
          </w:tcPr>
          <w:p w:rsidR="00E40D4B" w:rsidRDefault="00E40D4B">
            <w:pPr>
              <w:rPr>
                <w:rFonts w:ascii="Arial" w:eastAsia="MS Mincho" w:hAnsi="Arial" w:cs="Arial"/>
                <w:szCs w:val="20"/>
              </w:rPr>
            </w:pPr>
          </w:p>
        </w:tc>
        <w:tc>
          <w:tcPr>
            <w:tcW w:w="4260" w:type="dxa"/>
            <w:tcBorders>
              <w:top w:val="single" w:sz="18" w:space="0" w:color="auto"/>
            </w:tcBorders>
          </w:tcPr>
          <w:p w:rsidR="00E40D4B" w:rsidRDefault="00E40D4B">
            <w:pPr>
              <w:spacing w:after="0"/>
              <w:rPr>
                <w:rFonts w:ascii="Arial" w:eastAsia="MS Mincho" w:hAnsi="Arial" w:cs="Arial"/>
                <w:szCs w:val="20"/>
              </w:rPr>
            </w:pPr>
          </w:p>
          <w:p w:rsidR="00E40D4B" w:rsidRDefault="00A80394">
            <w:pPr>
              <w:spacing w:after="0"/>
              <w:jc w:val="center"/>
              <w:rPr>
                <w:rFonts w:ascii="Arial" w:eastAsia="MS Mincho" w:hAnsi="Arial" w:cs="Arial"/>
                <w:szCs w:val="20"/>
              </w:rPr>
            </w:pPr>
            <w:r>
              <w:rPr>
                <w:rFonts w:ascii="Arial" w:eastAsia="MS Mincho" w:hAnsi="Arial" w:cs="Arial"/>
                <w:szCs w:val="20"/>
              </w:rPr>
              <w:t>Nik Gjeloshaj</w:t>
            </w:r>
          </w:p>
        </w:tc>
        <w:tc>
          <w:tcPr>
            <w:tcW w:w="4544" w:type="dxa"/>
            <w:tcBorders>
              <w:top w:val="single" w:sz="18" w:space="0" w:color="auto"/>
              <w:bottom w:val="nil"/>
            </w:tcBorders>
          </w:tcPr>
          <w:p w:rsidR="00E40D4B" w:rsidRDefault="00E40D4B">
            <w:pPr>
              <w:rPr>
                <w:rFonts w:ascii="Arial" w:eastAsia="MS Mincho" w:hAnsi="Arial" w:cs="Arial"/>
                <w:szCs w:val="20"/>
              </w:rPr>
            </w:pPr>
          </w:p>
          <w:p w:rsidR="00E40D4B" w:rsidRDefault="00E40D4B">
            <w:pPr>
              <w:rPr>
                <w:rFonts w:ascii="Arial" w:eastAsia="MS Mincho" w:hAnsi="Arial" w:cs="Arial"/>
                <w:szCs w:val="20"/>
              </w:rPr>
            </w:pPr>
          </w:p>
        </w:tc>
        <w:tc>
          <w:tcPr>
            <w:tcW w:w="4396" w:type="dxa"/>
            <w:tcBorders>
              <w:top w:val="single" w:sz="18" w:space="0" w:color="auto"/>
            </w:tcBorders>
          </w:tcPr>
          <w:p w:rsidR="00E40D4B" w:rsidRDefault="00E40D4B">
            <w:pPr>
              <w:rPr>
                <w:rFonts w:ascii="Arial" w:eastAsia="MS Mincho" w:hAnsi="Arial" w:cs="Arial"/>
                <w:szCs w:val="20"/>
              </w:rPr>
            </w:pPr>
          </w:p>
        </w:tc>
        <w:tc>
          <w:tcPr>
            <w:tcW w:w="236" w:type="dxa"/>
            <w:tcBorders>
              <w:top w:val="single" w:sz="18" w:space="0" w:color="auto"/>
              <w:bottom w:val="nil"/>
              <w:right w:val="single" w:sz="18" w:space="0" w:color="auto"/>
            </w:tcBorders>
          </w:tcPr>
          <w:p w:rsidR="00E40D4B" w:rsidRDefault="00E40D4B">
            <w:pPr>
              <w:rPr>
                <w:rFonts w:ascii="Arial" w:eastAsia="MS Mincho" w:hAnsi="Arial" w:cs="Arial"/>
                <w:szCs w:val="20"/>
              </w:rPr>
            </w:pPr>
          </w:p>
        </w:tc>
      </w:tr>
      <w:tr w:rsidR="00E40D4B">
        <w:tc>
          <w:tcPr>
            <w:tcW w:w="284" w:type="dxa"/>
            <w:tcBorders>
              <w:top w:val="nil"/>
              <w:left w:val="single" w:sz="18" w:space="0" w:color="auto"/>
              <w:bottom w:val="single" w:sz="18" w:space="0" w:color="auto"/>
            </w:tcBorders>
          </w:tcPr>
          <w:p w:rsidR="00E40D4B" w:rsidRDefault="00E40D4B">
            <w:pPr>
              <w:rPr>
                <w:rFonts w:ascii="Arial" w:eastAsia="MS Mincho" w:hAnsi="Arial" w:cs="Arial"/>
                <w:szCs w:val="20"/>
              </w:rPr>
            </w:pPr>
          </w:p>
        </w:tc>
        <w:tc>
          <w:tcPr>
            <w:tcW w:w="4260" w:type="dxa"/>
            <w:tcBorders>
              <w:bottom w:val="single" w:sz="18" w:space="0" w:color="auto"/>
            </w:tcBorders>
          </w:tcPr>
          <w:p w:rsidR="00E40D4B" w:rsidRDefault="00C0787B">
            <w:pPr>
              <w:rPr>
                <w:rFonts w:ascii="Arial" w:eastAsia="MS Mincho" w:hAnsi="Arial" w:cs="Arial"/>
                <w:szCs w:val="20"/>
              </w:rPr>
            </w:pPr>
            <w:r>
              <w:rPr>
                <w:rFonts w:ascii="Arial" w:eastAsia="MS Mincho" w:hAnsi="Arial" w:cs="Arial"/>
                <w:szCs w:val="20"/>
              </w:rPr>
              <w:t xml:space="preserve">                    Ime i prezime</w:t>
            </w:r>
          </w:p>
        </w:tc>
        <w:tc>
          <w:tcPr>
            <w:tcW w:w="4544" w:type="dxa"/>
            <w:tcBorders>
              <w:top w:val="nil"/>
              <w:bottom w:val="single" w:sz="18" w:space="0" w:color="auto"/>
            </w:tcBorders>
          </w:tcPr>
          <w:p w:rsidR="00E40D4B" w:rsidRDefault="00C0787B">
            <w:pPr>
              <w:rPr>
                <w:rFonts w:ascii="Arial" w:eastAsia="MS Mincho" w:hAnsi="Arial" w:cs="Arial"/>
                <w:szCs w:val="20"/>
              </w:rPr>
            </w:pPr>
            <w:r>
              <w:rPr>
                <w:rFonts w:ascii="Arial" w:eastAsia="MS Mincho" w:hAnsi="Arial" w:cs="Arial"/>
                <w:szCs w:val="20"/>
              </w:rPr>
              <w:t xml:space="preserve">                          M.P.</w:t>
            </w:r>
          </w:p>
          <w:p w:rsidR="00E40D4B" w:rsidRDefault="00E40D4B">
            <w:pPr>
              <w:rPr>
                <w:rFonts w:ascii="Arial" w:eastAsia="MS Mincho" w:hAnsi="Arial" w:cs="Arial"/>
                <w:szCs w:val="20"/>
              </w:rPr>
            </w:pPr>
          </w:p>
        </w:tc>
        <w:tc>
          <w:tcPr>
            <w:tcW w:w="4396" w:type="dxa"/>
            <w:tcBorders>
              <w:bottom w:val="single" w:sz="18" w:space="0" w:color="auto"/>
            </w:tcBorders>
          </w:tcPr>
          <w:p w:rsidR="00E40D4B" w:rsidRDefault="00C0787B">
            <w:pPr>
              <w:rPr>
                <w:rFonts w:ascii="Arial" w:eastAsia="MS Mincho" w:hAnsi="Arial" w:cs="Arial"/>
                <w:szCs w:val="20"/>
              </w:rPr>
            </w:pPr>
            <w:r>
              <w:rPr>
                <w:rFonts w:ascii="Arial" w:eastAsia="MS Mincho" w:hAnsi="Arial" w:cs="Arial"/>
                <w:szCs w:val="20"/>
              </w:rPr>
              <w:t xml:space="preserve">                         Potpis</w:t>
            </w:r>
          </w:p>
        </w:tc>
        <w:tc>
          <w:tcPr>
            <w:tcW w:w="236" w:type="dxa"/>
            <w:tcBorders>
              <w:top w:val="nil"/>
              <w:bottom w:val="single" w:sz="18" w:space="0" w:color="auto"/>
              <w:right w:val="single" w:sz="18" w:space="0" w:color="auto"/>
            </w:tcBorders>
          </w:tcPr>
          <w:p w:rsidR="00E40D4B" w:rsidRDefault="00E40D4B">
            <w:pPr>
              <w:rPr>
                <w:rFonts w:ascii="Arial" w:eastAsia="MS Mincho" w:hAnsi="Arial" w:cs="Arial"/>
                <w:szCs w:val="20"/>
              </w:rPr>
            </w:pPr>
          </w:p>
        </w:tc>
      </w:tr>
    </w:tbl>
    <w:p w:rsidR="00E40D4B" w:rsidRDefault="00E40D4B">
      <w:pPr>
        <w:tabs>
          <w:tab w:val="left" w:pos="1620"/>
        </w:tabs>
        <w:spacing w:before="0" w:after="0" w:line="240" w:lineRule="auto"/>
        <w:rPr>
          <w:rFonts w:ascii="Arial" w:hAnsi="Arial" w:cs="Arial"/>
          <w:sz w:val="20"/>
        </w:rPr>
      </w:pPr>
    </w:p>
    <w:sectPr w:rsidR="00E40D4B">
      <w:headerReference w:type="default" r:id="rId11"/>
      <w:headerReference w:type="first" r:id="rId12"/>
      <w:pgSz w:w="16838" w:h="11906" w:orient="landscape"/>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841" w:rsidRDefault="00265841">
      <w:pPr>
        <w:spacing w:line="240" w:lineRule="auto"/>
      </w:pPr>
      <w:r>
        <w:separator/>
      </w:r>
    </w:p>
  </w:endnote>
  <w:endnote w:type="continuationSeparator" w:id="0">
    <w:p w:rsidR="00265841" w:rsidRDefault="00265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841" w:rsidRDefault="00265841">
      <w:pPr>
        <w:spacing w:before="0" w:after="0"/>
      </w:pPr>
      <w:r>
        <w:separator/>
      </w:r>
    </w:p>
  </w:footnote>
  <w:footnote w:type="continuationSeparator" w:id="0">
    <w:p w:rsidR="00265841" w:rsidRDefault="002658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4B" w:rsidRDefault="00E40D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4B" w:rsidRPr="00103382" w:rsidRDefault="00C0787B">
    <w:pPr>
      <w:pStyle w:val="Title"/>
      <w:ind w:left="0"/>
    </w:pPr>
    <w:r w:rsidRPr="00103382">
      <w:rPr>
        <w:rFonts w:ascii="Arial" w:hAnsi="Arial" w:cs="Arial"/>
        <w:noProof/>
        <w:sz w:val="20"/>
        <w:szCs w:val="20"/>
      </w:rPr>
      <w:drawing>
        <wp:inline distT="0" distB="0" distL="0" distR="0">
          <wp:extent cx="112649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6608" cy="1075763"/>
                  </a:xfrm>
                  <a:prstGeom prst="rect">
                    <a:avLst/>
                  </a:prstGeom>
                  <a:noFill/>
                </pic:spPr>
              </pic:pic>
            </a:graphicData>
          </a:graphic>
        </wp:inline>
      </w:drawing>
    </w:r>
    <w:r w:rsidR="00103382" w:rsidRPr="00103382">
      <w:t xml:space="preserve">                                                                                                                                                                                                                                       </w:t>
    </w:r>
    <w:r w:rsidR="00103382">
      <w:t xml:space="preserve">   </w:t>
    </w:r>
    <w:r w:rsidR="00103382" w:rsidRPr="00103382">
      <w:t>NACRT</w:t>
    </w:r>
  </w:p>
  <w:p w:rsidR="00E40D4B" w:rsidRPr="00103382" w:rsidRDefault="00E4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2F003F"/>
    <w:multiLevelType w:val="singleLevel"/>
    <w:tmpl w:val="842F003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6F0B2E"/>
    <w:multiLevelType w:val="multilevel"/>
    <w:tmpl w:val="026F0B2E"/>
    <w:lvl w:ilvl="0">
      <w:start w:val="1"/>
      <w:numFmt w:val="bullet"/>
      <w:lvlText w:val="-"/>
      <w:lvlJc w:val="left"/>
      <w:pPr>
        <w:ind w:left="720" w:hanging="360"/>
      </w:pPr>
      <w:rPr>
        <w:rFonts w:ascii="Arial" w:eastAsiaTheme="minorHAnsi"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AA7305"/>
    <w:multiLevelType w:val="multilevel"/>
    <w:tmpl w:val="09AA730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B64770"/>
    <w:multiLevelType w:val="multilevel"/>
    <w:tmpl w:val="10B64770"/>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8132F"/>
    <w:multiLevelType w:val="multilevel"/>
    <w:tmpl w:val="25D813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7F3FE6"/>
    <w:multiLevelType w:val="hybridMultilevel"/>
    <w:tmpl w:val="38CAF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581135"/>
    <w:multiLevelType w:val="singleLevel"/>
    <w:tmpl w:val="04090001"/>
    <w:lvl w:ilvl="0">
      <w:start w:val="1"/>
      <w:numFmt w:val="bullet"/>
      <w:lvlText w:val=""/>
      <w:lvlJc w:val="left"/>
      <w:pPr>
        <w:ind w:left="360" w:hanging="360"/>
      </w:pPr>
      <w:rPr>
        <w:rFonts w:ascii="Symbol" w:hAnsi="Symbol" w:hint="default"/>
      </w:rPr>
    </w:lvl>
  </w:abstractNum>
  <w:abstractNum w:abstractNumId="7" w15:restartNumberingAfterBreak="0">
    <w:nsid w:val="65400D7C"/>
    <w:multiLevelType w:val="multilevel"/>
    <w:tmpl w:val="6540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546C50"/>
    <w:multiLevelType w:val="hybridMultilevel"/>
    <w:tmpl w:val="09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3B6EEB"/>
    <w:multiLevelType w:val="multilevel"/>
    <w:tmpl w:val="683B6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004598"/>
    <w:multiLevelType w:val="hybridMultilevel"/>
    <w:tmpl w:val="537C4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3"/>
  </w:num>
  <w:num w:numId="6">
    <w:abstractNumId w:val="4"/>
  </w:num>
  <w:num w:numId="7">
    <w:abstractNumId w:val="6"/>
  </w:num>
  <w:num w:numId="8">
    <w:abstractNumId w:val="7"/>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71E3B"/>
    <w:rsid w:val="000775A8"/>
    <w:rsid w:val="000835F8"/>
    <w:rsid w:val="00084433"/>
    <w:rsid w:val="00093D71"/>
    <w:rsid w:val="000A2B0F"/>
    <w:rsid w:val="000E160A"/>
    <w:rsid w:val="000F2AA0"/>
    <w:rsid w:val="000F2B95"/>
    <w:rsid w:val="000F2BFC"/>
    <w:rsid w:val="00103382"/>
    <w:rsid w:val="00104240"/>
    <w:rsid w:val="001053EE"/>
    <w:rsid w:val="00107821"/>
    <w:rsid w:val="00107D7D"/>
    <w:rsid w:val="001478DE"/>
    <w:rsid w:val="00154D42"/>
    <w:rsid w:val="0015527F"/>
    <w:rsid w:val="00173C42"/>
    <w:rsid w:val="001822F4"/>
    <w:rsid w:val="001822FC"/>
    <w:rsid w:val="001847FD"/>
    <w:rsid w:val="0019573A"/>
    <w:rsid w:val="00196664"/>
    <w:rsid w:val="001A79B6"/>
    <w:rsid w:val="001A7E96"/>
    <w:rsid w:val="001C04EB"/>
    <w:rsid w:val="001C2DA5"/>
    <w:rsid w:val="001C6822"/>
    <w:rsid w:val="001D3909"/>
    <w:rsid w:val="001D7FF8"/>
    <w:rsid w:val="001F1805"/>
    <w:rsid w:val="001F75D5"/>
    <w:rsid w:val="002032BE"/>
    <w:rsid w:val="002033AE"/>
    <w:rsid w:val="00205759"/>
    <w:rsid w:val="00207835"/>
    <w:rsid w:val="00217254"/>
    <w:rsid w:val="00231D5F"/>
    <w:rsid w:val="0024788C"/>
    <w:rsid w:val="00250B84"/>
    <w:rsid w:val="002511E4"/>
    <w:rsid w:val="00251C96"/>
    <w:rsid w:val="00252A36"/>
    <w:rsid w:val="00265841"/>
    <w:rsid w:val="00292D5E"/>
    <w:rsid w:val="00293A0E"/>
    <w:rsid w:val="002A7CB3"/>
    <w:rsid w:val="002B633A"/>
    <w:rsid w:val="002C3D77"/>
    <w:rsid w:val="002D3C17"/>
    <w:rsid w:val="002D4447"/>
    <w:rsid w:val="002E01C2"/>
    <w:rsid w:val="002F461C"/>
    <w:rsid w:val="00302662"/>
    <w:rsid w:val="003028E5"/>
    <w:rsid w:val="003040AC"/>
    <w:rsid w:val="003168DA"/>
    <w:rsid w:val="0032257A"/>
    <w:rsid w:val="00323D8A"/>
    <w:rsid w:val="003247A7"/>
    <w:rsid w:val="003323B3"/>
    <w:rsid w:val="003417B8"/>
    <w:rsid w:val="003439BF"/>
    <w:rsid w:val="00350578"/>
    <w:rsid w:val="00354D08"/>
    <w:rsid w:val="00370754"/>
    <w:rsid w:val="00374FC4"/>
    <w:rsid w:val="00375D08"/>
    <w:rsid w:val="0039558B"/>
    <w:rsid w:val="003A6DB5"/>
    <w:rsid w:val="003B4527"/>
    <w:rsid w:val="003D1FB1"/>
    <w:rsid w:val="003D33D6"/>
    <w:rsid w:val="004112D5"/>
    <w:rsid w:val="004317AE"/>
    <w:rsid w:val="004378E1"/>
    <w:rsid w:val="004501E6"/>
    <w:rsid w:val="00451F6C"/>
    <w:rsid w:val="00451FF9"/>
    <w:rsid w:val="00460F3F"/>
    <w:rsid w:val="0046254F"/>
    <w:rsid w:val="004679C3"/>
    <w:rsid w:val="00474298"/>
    <w:rsid w:val="004754B7"/>
    <w:rsid w:val="00487B7A"/>
    <w:rsid w:val="004934B6"/>
    <w:rsid w:val="00493D19"/>
    <w:rsid w:val="004A175D"/>
    <w:rsid w:val="004B5AE9"/>
    <w:rsid w:val="004B76A4"/>
    <w:rsid w:val="004B794D"/>
    <w:rsid w:val="004C5676"/>
    <w:rsid w:val="004E3DA7"/>
    <w:rsid w:val="004F24B0"/>
    <w:rsid w:val="00506F7B"/>
    <w:rsid w:val="005135BC"/>
    <w:rsid w:val="00523147"/>
    <w:rsid w:val="005237D4"/>
    <w:rsid w:val="00531C38"/>
    <w:rsid w:val="00531FDF"/>
    <w:rsid w:val="00545913"/>
    <w:rsid w:val="00546D0B"/>
    <w:rsid w:val="005723C7"/>
    <w:rsid w:val="00572D76"/>
    <w:rsid w:val="00581722"/>
    <w:rsid w:val="005952BB"/>
    <w:rsid w:val="005A2821"/>
    <w:rsid w:val="005A4E7E"/>
    <w:rsid w:val="005A6AD9"/>
    <w:rsid w:val="005B44BF"/>
    <w:rsid w:val="005C6F24"/>
    <w:rsid w:val="005D3EB1"/>
    <w:rsid w:val="005E2CF3"/>
    <w:rsid w:val="005E6D24"/>
    <w:rsid w:val="005E6ECD"/>
    <w:rsid w:val="005F56D9"/>
    <w:rsid w:val="00612213"/>
    <w:rsid w:val="006159EE"/>
    <w:rsid w:val="00630A76"/>
    <w:rsid w:val="00643692"/>
    <w:rsid w:val="00670FF6"/>
    <w:rsid w:val="006739CA"/>
    <w:rsid w:val="00683884"/>
    <w:rsid w:val="0068793B"/>
    <w:rsid w:val="006A24FA"/>
    <w:rsid w:val="006A2698"/>
    <w:rsid w:val="006A2C40"/>
    <w:rsid w:val="006A6AE2"/>
    <w:rsid w:val="006B0CEE"/>
    <w:rsid w:val="006C3199"/>
    <w:rsid w:val="006D0238"/>
    <w:rsid w:val="006D22B2"/>
    <w:rsid w:val="006D2B2D"/>
    <w:rsid w:val="006D711E"/>
    <w:rsid w:val="006E262C"/>
    <w:rsid w:val="006E4CAE"/>
    <w:rsid w:val="0070005F"/>
    <w:rsid w:val="00700499"/>
    <w:rsid w:val="00717B58"/>
    <w:rsid w:val="00722040"/>
    <w:rsid w:val="0073561A"/>
    <w:rsid w:val="0077100B"/>
    <w:rsid w:val="00786F2E"/>
    <w:rsid w:val="007904A7"/>
    <w:rsid w:val="0079207C"/>
    <w:rsid w:val="00794586"/>
    <w:rsid w:val="00796720"/>
    <w:rsid w:val="007978B6"/>
    <w:rsid w:val="007A0248"/>
    <w:rsid w:val="007A118F"/>
    <w:rsid w:val="007B2B13"/>
    <w:rsid w:val="007C5401"/>
    <w:rsid w:val="007D3AD5"/>
    <w:rsid w:val="007D633C"/>
    <w:rsid w:val="007E498B"/>
    <w:rsid w:val="007F67A4"/>
    <w:rsid w:val="00810076"/>
    <w:rsid w:val="00810444"/>
    <w:rsid w:val="008118BE"/>
    <w:rsid w:val="00816114"/>
    <w:rsid w:val="008472F9"/>
    <w:rsid w:val="00847A3A"/>
    <w:rsid w:val="0085342C"/>
    <w:rsid w:val="00871194"/>
    <w:rsid w:val="0088156B"/>
    <w:rsid w:val="00885190"/>
    <w:rsid w:val="00890965"/>
    <w:rsid w:val="008C7F82"/>
    <w:rsid w:val="008D5844"/>
    <w:rsid w:val="008E6F47"/>
    <w:rsid w:val="008F5CCF"/>
    <w:rsid w:val="008F7D2B"/>
    <w:rsid w:val="00902E6C"/>
    <w:rsid w:val="00907170"/>
    <w:rsid w:val="009116F6"/>
    <w:rsid w:val="00912C2B"/>
    <w:rsid w:val="009130A0"/>
    <w:rsid w:val="00914A3B"/>
    <w:rsid w:val="00922A8D"/>
    <w:rsid w:val="00922BAC"/>
    <w:rsid w:val="00933054"/>
    <w:rsid w:val="00933725"/>
    <w:rsid w:val="00937684"/>
    <w:rsid w:val="00946A67"/>
    <w:rsid w:val="0096107C"/>
    <w:rsid w:val="009632DD"/>
    <w:rsid w:val="0096528C"/>
    <w:rsid w:val="009732F8"/>
    <w:rsid w:val="009751DF"/>
    <w:rsid w:val="009902D5"/>
    <w:rsid w:val="00993FA5"/>
    <w:rsid w:val="0099577A"/>
    <w:rsid w:val="00997C04"/>
    <w:rsid w:val="009A7691"/>
    <w:rsid w:val="009B72EE"/>
    <w:rsid w:val="009E797A"/>
    <w:rsid w:val="009F5AED"/>
    <w:rsid w:val="00A455E1"/>
    <w:rsid w:val="00A53862"/>
    <w:rsid w:val="00A60445"/>
    <w:rsid w:val="00A640F0"/>
    <w:rsid w:val="00A6505B"/>
    <w:rsid w:val="00A80394"/>
    <w:rsid w:val="00A85616"/>
    <w:rsid w:val="00A912A9"/>
    <w:rsid w:val="00AA5E68"/>
    <w:rsid w:val="00AA6DBF"/>
    <w:rsid w:val="00AD29CE"/>
    <w:rsid w:val="00AD5C08"/>
    <w:rsid w:val="00AF27FF"/>
    <w:rsid w:val="00AF3564"/>
    <w:rsid w:val="00B003EE"/>
    <w:rsid w:val="00B13AFC"/>
    <w:rsid w:val="00B167AC"/>
    <w:rsid w:val="00B30D58"/>
    <w:rsid w:val="00B40A06"/>
    <w:rsid w:val="00B43769"/>
    <w:rsid w:val="00B473C2"/>
    <w:rsid w:val="00B47D2C"/>
    <w:rsid w:val="00B563F5"/>
    <w:rsid w:val="00B609F5"/>
    <w:rsid w:val="00B62805"/>
    <w:rsid w:val="00B63CC6"/>
    <w:rsid w:val="00B7650E"/>
    <w:rsid w:val="00B82085"/>
    <w:rsid w:val="00B83F7A"/>
    <w:rsid w:val="00B84F08"/>
    <w:rsid w:val="00BB014F"/>
    <w:rsid w:val="00BB506C"/>
    <w:rsid w:val="00BB5B0F"/>
    <w:rsid w:val="00BC0F77"/>
    <w:rsid w:val="00BE3206"/>
    <w:rsid w:val="00BF464E"/>
    <w:rsid w:val="00C0787B"/>
    <w:rsid w:val="00C123D2"/>
    <w:rsid w:val="00C176EB"/>
    <w:rsid w:val="00C17D54"/>
    <w:rsid w:val="00C20E0A"/>
    <w:rsid w:val="00C2622E"/>
    <w:rsid w:val="00C4431F"/>
    <w:rsid w:val="00C63E01"/>
    <w:rsid w:val="00C664A7"/>
    <w:rsid w:val="00C84028"/>
    <w:rsid w:val="00CA4058"/>
    <w:rsid w:val="00CC2580"/>
    <w:rsid w:val="00CD159D"/>
    <w:rsid w:val="00CD2473"/>
    <w:rsid w:val="00CF540B"/>
    <w:rsid w:val="00D06E02"/>
    <w:rsid w:val="00D218F0"/>
    <w:rsid w:val="00D23B4D"/>
    <w:rsid w:val="00D2455F"/>
    <w:rsid w:val="00D61A8B"/>
    <w:rsid w:val="00D63B3D"/>
    <w:rsid w:val="00D720B1"/>
    <w:rsid w:val="00DA3DE2"/>
    <w:rsid w:val="00DC116B"/>
    <w:rsid w:val="00DC5DF1"/>
    <w:rsid w:val="00DC61B0"/>
    <w:rsid w:val="00DE3B98"/>
    <w:rsid w:val="00DE73CA"/>
    <w:rsid w:val="00DF60F7"/>
    <w:rsid w:val="00E0701D"/>
    <w:rsid w:val="00E16E72"/>
    <w:rsid w:val="00E17788"/>
    <w:rsid w:val="00E40D4B"/>
    <w:rsid w:val="00E62554"/>
    <w:rsid w:val="00E73A9B"/>
    <w:rsid w:val="00E74F68"/>
    <w:rsid w:val="00E75466"/>
    <w:rsid w:val="00E806B7"/>
    <w:rsid w:val="00E83D20"/>
    <w:rsid w:val="00E84574"/>
    <w:rsid w:val="00EA22A1"/>
    <w:rsid w:val="00EA3F9B"/>
    <w:rsid w:val="00ED7458"/>
    <w:rsid w:val="00EE1681"/>
    <w:rsid w:val="00EF4B5C"/>
    <w:rsid w:val="00F127D8"/>
    <w:rsid w:val="00F13333"/>
    <w:rsid w:val="00F14B0C"/>
    <w:rsid w:val="00F16D1B"/>
    <w:rsid w:val="00F21A4A"/>
    <w:rsid w:val="00F323F6"/>
    <w:rsid w:val="00F523C7"/>
    <w:rsid w:val="00F63FBA"/>
    <w:rsid w:val="00F657FC"/>
    <w:rsid w:val="00F9532E"/>
    <w:rsid w:val="00F9760A"/>
    <w:rsid w:val="00FA745B"/>
    <w:rsid w:val="00FB409E"/>
    <w:rsid w:val="00FC5AB5"/>
    <w:rsid w:val="00FD5E79"/>
    <w:rsid w:val="00FD7606"/>
    <w:rsid w:val="00FE4CFA"/>
    <w:rsid w:val="00FF047E"/>
    <w:rsid w:val="00FF368D"/>
    <w:rsid w:val="51102D58"/>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673DF-7F2E-4D75-8821-0E1F566E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rFonts w:asciiTheme="minorHAnsi" w:eastAsiaTheme="minorHAnsi" w:hAnsiTheme="minorHAnsi" w:cstheme="minorBidi"/>
      <w:sz w:val="24"/>
      <w:szCs w:val="22"/>
      <w:lang w:val="sr-Latn-ME"/>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lang w:val="sr-Latn-ME"/>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table" w:styleId="TableGrid">
    <w:name w:val="Table Grid"/>
    <w:basedOn w:val="Table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spacing w:before="0" w:after="200" w:line="240" w:lineRule="auto"/>
      <w:ind w:left="720"/>
      <w:contextualSpacing/>
      <w:jc w:val="left"/>
    </w:pPr>
    <w:rPr>
      <w:rFonts w:ascii="Cambria" w:eastAsia="MS Mincho" w:hAnsi="Cambria" w:cs="Times New Roman"/>
      <w:szCs w:val="24"/>
      <w:lang w:val="en-US"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heme="minorHAnsi" w:eastAsiaTheme="minorHAnsi" w:hAnsiTheme="minorHAnsi" w:cstheme="minorBidi"/>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hare.google/gtBJlIb2c7g3dWMrx" TargetMode="External"/><Relationship Id="rId4" Type="http://schemas.openxmlformats.org/officeDocument/2006/relationships/styles" Target="styles.xml"/><Relationship Id="rId9" Type="http://schemas.openxmlformats.org/officeDocument/2006/relationships/hyperlink" Target="https://www.gov.me/dokumenta/7d0c4305-e41b-47b9-80e1-88be8ddf24d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5400F3-1FDE-4984-911E-9168F45B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Milena Dardic</cp:lastModifiedBy>
  <cp:revision>2</cp:revision>
  <cp:lastPrinted>2026-04-28T08:43:00Z</cp:lastPrinted>
  <dcterms:created xsi:type="dcterms:W3CDTF">2026-04-28T12:37:00Z</dcterms:created>
  <dcterms:modified xsi:type="dcterms:W3CDTF">2026-04-28T12:37:00Z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080878D5DBC14A18B11C441685B10A0C_12</vt:lpwstr>
  </property>
</Properties>
</file>