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715429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  <w:lang w:val="hr-BA"/>
        </w:rPr>
      </w:pPr>
      <w:r w:rsidRPr="00715429">
        <w:rPr>
          <w:rFonts w:ascii="Cambria" w:hAnsi="Cambria" w:cs="Cambria"/>
          <w:noProof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CRNA GORA</w:t>
      </w:r>
    </w:p>
    <w:p w:rsidR="0082570B" w:rsidRPr="00715429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MINISTARSTVO FINANSIJA</w:t>
      </w:r>
    </w:p>
    <w:p w:rsidR="0082570B" w:rsidRPr="00715429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  <w:lang w:val="hr-BA"/>
        </w:rPr>
      </w:pPr>
      <w:r w:rsidRPr="00715429">
        <w:rPr>
          <w:b/>
          <w:bCs/>
          <w:noProof/>
          <w:sz w:val="28"/>
          <w:szCs w:val="28"/>
          <w:lang w:val="hr-BA"/>
        </w:rPr>
        <w:t>Direktorat</w:t>
      </w:r>
      <w:r w:rsidR="0082570B" w:rsidRPr="00715429">
        <w:rPr>
          <w:b/>
          <w:bCs/>
          <w:noProof/>
          <w:sz w:val="28"/>
          <w:szCs w:val="28"/>
          <w:lang w:val="hr-BA"/>
        </w:rPr>
        <w:t xml:space="preserve"> za ekonomsku politiku i razvoj</w:t>
      </w:r>
    </w:p>
    <w:p w:rsidR="0082570B" w:rsidRPr="00715429" w:rsidRDefault="0082570B" w:rsidP="00D61692">
      <w:pPr>
        <w:rPr>
          <w:rFonts w:cs="Calibri"/>
          <w:noProof/>
          <w:lang w:val="hr-BA"/>
        </w:rPr>
      </w:pPr>
    </w:p>
    <w:p w:rsidR="0082570B" w:rsidRPr="00715429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F756E">
      <w:pPr>
        <w:rPr>
          <w:rFonts w:cs="Calibri"/>
          <w:b/>
          <w:bCs/>
          <w:i/>
          <w:iCs/>
          <w:noProof/>
          <w:sz w:val="36"/>
          <w:szCs w:val="36"/>
          <w:lang w:val="hr-BA"/>
        </w:rPr>
      </w:pPr>
    </w:p>
    <w:p w:rsidR="0082570B" w:rsidRPr="00715429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  <w:lang w:val="hr-BA"/>
        </w:rPr>
      </w:pPr>
      <w:r w:rsidRPr="00715429">
        <w:rPr>
          <w:rFonts w:cs="Calibri"/>
          <w:b/>
          <w:bCs/>
          <w:iCs/>
          <w:noProof/>
          <w:sz w:val="52"/>
          <w:szCs w:val="52"/>
          <w:lang w:val="hr-BA"/>
        </w:rPr>
        <w:t>MJESEČNI MAKROEKONOMSKI INDIKATORI</w:t>
      </w:r>
    </w:p>
    <w:p w:rsidR="0082570B" w:rsidRPr="00715429" w:rsidRDefault="00C06AB7" w:rsidP="0002564B">
      <w:pPr>
        <w:spacing w:line="240" w:lineRule="auto"/>
        <w:jc w:val="center"/>
        <w:outlineLvl w:val="0"/>
        <w:rPr>
          <w:rFonts w:cs="Calibri"/>
          <w:b/>
          <w:bCs/>
          <w:noProof/>
          <w:sz w:val="32"/>
          <w:szCs w:val="32"/>
          <w:lang w:val="hr-BA"/>
        </w:rPr>
      </w:pPr>
      <w:r>
        <w:rPr>
          <w:rFonts w:cs="Calibri"/>
          <w:b/>
          <w:bCs/>
          <w:noProof/>
          <w:sz w:val="32"/>
          <w:szCs w:val="32"/>
          <w:lang w:val="hr-BA"/>
        </w:rPr>
        <w:t>Avgust</w:t>
      </w:r>
      <w:r w:rsidR="007D0106" w:rsidRPr="00715429">
        <w:rPr>
          <w:rFonts w:cs="Calibri"/>
          <w:b/>
          <w:bCs/>
          <w:noProof/>
          <w:sz w:val="32"/>
          <w:szCs w:val="32"/>
          <w:lang w:val="hr-BA"/>
        </w:rPr>
        <w:t xml:space="preserve"> </w:t>
      </w:r>
      <w:r w:rsidR="006D2B20" w:rsidRPr="00715429">
        <w:rPr>
          <w:rFonts w:cs="Calibri"/>
          <w:b/>
          <w:bCs/>
          <w:noProof/>
          <w:sz w:val="32"/>
          <w:szCs w:val="32"/>
          <w:lang w:val="hr-BA"/>
        </w:rPr>
        <w:t>2014</w:t>
      </w:r>
      <w:r w:rsidR="0082570B" w:rsidRPr="00715429">
        <w:rPr>
          <w:rFonts w:cs="Calibri"/>
          <w:b/>
          <w:bCs/>
          <w:noProof/>
          <w:sz w:val="32"/>
          <w:szCs w:val="32"/>
          <w:lang w:val="hr-BA"/>
        </w:rPr>
        <w:t>.</w:t>
      </w: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  <w:lang w:val="hr-BA"/>
        </w:rPr>
      </w:pPr>
    </w:p>
    <w:p w:rsidR="0082570B" w:rsidRPr="00715429" w:rsidRDefault="00D5331F" w:rsidP="00D20CDA">
      <w:pPr>
        <w:spacing w:after="0" w:line="240" w:lineRule="auto"/>
        <w:rPr>
          <w:rFonts w:cs="Calibri"/>
          <w:bCs/>
          <w:noProof/>
          <w:sz w:val="28"/>
          <w:szCs w:val="28"/>
          <w:lang w:val="hr-BA"/>
        </w:rPr>
      </w:pPr>
      <w:r w:rsidRPr="00D5331F">
        <w:rPr>
          <w:noProof/>
          <w:lang w:val="hr-BA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-11pt;margin-top:363pt;width:234.35pt;height:338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9851E4" w:rsidRDefault="009851E4" w:rsidP="00BE47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9851E4" w:rsidRDefault="009851E4" w:rsidP="00E2362B">
                  <w:pPr>
                    <w:pStyle w:val="NoSpacing"/>
                    <w:ind w:left="851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8E33EA" w:rsidRDefault="008E33EA" w:rsidP="008E33EA">
                  <w:pPr>
                    <w:pStyle w:val="NoSpacing"/>
                    <w:numPr>
                      <w:ilvl w:val="0"/>
                      <w:numId w:val="28"/>
                    </w:numPr>
                    <w:spacing w:after="160"/>
                    <w:ind w:left="425" w:hanging="357"/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</w:pPr>
                  <w:r w:rsidRPr="000F6673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Zapadne zemlje uvele sankcije Rusiji, koja je odgovorila kontramjerama</w:t>
                  </w:r>
                  <w:r w:rsidR="00340909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.</w:t>
                  </w:r>
                </w:p>
                <w:p w:rsidR="008E33EA" w:rsidRDefault="008E33EA" w:rsidP="008E33EA">
                  <w:pPr>
                    <w:pStyle w:val="NoSpacing"/>
                    <w:numPr>
                      <w:ilvl w:val="0"/>
                      <w:numId w:val="28"/>
                    </w:numPr>
                    <w:spacing w:after="160"/>
                    <w:ind w:left="425" w:hanging="357"/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</w:pPr>
                  <w:r w:rsidRPr="000F6673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Neuo</w:t>
                  </w:r>
                  <w:r w:rsidR="00DC74BC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 xml:space="preserve">bičajeno loši vremenski uslovi </w:t>
                  </w:r>
                  <w:r w:rsidRPr="000F6673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uticali su na pad dol</w:t>
                  </w:r>
                  <w:r w:rsidR="009A7E4A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azaka turista u julu 2014.</w:t>
                  </w:r>
                </w:p>
                <w:p w:rsidR="008E33EA" w:rsidRDefault="008E33EA" w:rsidP="008E33EA">
                  <w:pPr>
                    <w:pStyle w:val="NoSpacing"/>
                    <w:numPr>
                      <w:ilvl w:val="0"/>
                      <w:numId w:val="28"/>
                    </w:numPr>
                    <w:spacing w:after="160"/>
                    <w:ind w:left="425" w:hanging="357"/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</w:pPr>
                  <w:r w:rsidRPr="00543E60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Potrošačke cijene (HICP) u julu niže za 0,9%.</w:t>
                  </w:r>
                </w:p>
                <w:p w:rsidR="008E33EA" w:rsidRDefault="00DC74BC" w:rsidP="008E33EA">
                  <w:pPr>
                    <w:pStyle w:val="NoSpacing"/>
                    <w:numPr>
                      <w:ilvl w:val="0"/>
                      <w:numId w:val="28"/>
                    </w:numPr>
                    <w:spacing w:after="160"/>
                    <w:ind w:left="425" w:hanging="357"/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 xml:space="preserve">Izvorni prihodi budžeta </w:t>
                  </w:r>
                  <w:r w:rsidR="008E33EA" w:rsidRPr="00543E60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u julu 2014. niži za 1,5 % u odnosu na jul 2013. godine</w:t>
                  </w:r>
                </w:p>
                <w:p w:rsidR="008E33EA" w:rsidRPr="000F6673" w:rsidRDefault="00D965EE" w:rsidP="008E33EA">
                  <w:pPr>
                    <w:pStyle w:val="NoSpacing"/>
                    <w:numPr>
                      <w:ilvl w:val="0"/>
                      <w:numId w:val="28"/>
                    </w:numPr>
                    <w:spacing w:after="160"/>
                    <w:ind w:left="425" w:hanging="357"/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U</w:t>
                  </w:r>
                  <w:r w:rsidR="008E33EA" w:rsidRPr="00543E60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kupan</w:t>
                  </w:r>
                  <w:r w:rsidR="00DC74BC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 xml:space="preserve"> priliv SDI, </w:t>
                  </w:r>
                  <w:r w:rsidR="008E33EA" w:rsidRPr="00543E60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u junu iznosio  50,3 mil.€</w:t>
                  </w:r>
                  <w:r w:rsidR="00340909">
                    <w:rPr>
                      <w:b/>
                      <w:bCs/>
                      <w:color w:val="000000"/>
                      <w:sz w:val="28"/>
                      <w:szCs w:val="40"/>
                      <w:lang w:val="pl-PL"/>
                    </w:rPr>
                    <w:t>.</w:t>
                  </w:r>
                </w:p>
                <w:p w:rsidR="009851E4" w:rsidRPr="00E2362B" w:rsidRDefault="009851E4" w:rsidP="00E2362B">
                  <w:pPr>
                    <w:pStyle w:val="NoSpacing"/>
                    <w:ind w:left="851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715429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  <w:lang w:val="hr-BA"/>
        </w:rPr>
      </w:pPr>
    </w:p>
    <w:p w:rsidR="0082570B" w:rsidRPr="00715429" w:rsidRDefault="0085138D" w:rsidP="00D61692">
      <w:pPr>
        <w:pStyle w:val="NoSpacing"/>
        <w:rPr>
          <w:bCs/>
          <w:iCs/>
          <w:noProof/>
          <w:sz w:val="26"/>
          <w:szCs w:val="26"/>
          <w:lang w:val="hr-BA"/>
        </w:rPr>
      </w:pPr>
      <w:r>
        <w:rPr>
          <w:bCs/>
          <w:iCs/>
          <w:noProof/>
          <w:sz w:val="26"/>
          <w:szCs w:val="26"/>
          <w:lang w:val="hr-BA"/>
        </w:rPr>
        <w:t xml:space="preserve">          </w:t>
      </w:r>
    </w:p>
    <w:p w:rsidR="0082570B" w:rsidRPr="00715429" w:rsidRDefault="0085138D" w:rsidP="00694445">
      <w:pPr>
        <w:pStyle w:val="NoSpacing"/>
        <w:rPr>
          <w:bCs/>
          <w:noProof/>
          <w:sz w:val="28"/>
          <w:szCs w:val="20"/>
          <w:lang w:val="hr-BA"/>
        </w:rPr>
      </w:pPr>
      <w:r>
        <w:rPr>
          <w:bCs/>
          <w:noProof/>
          <w:sz w:val="28"/>
          <w:szCs w:val="20"/>
          <w:lang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912495</wp:posOffset>
            </wp:positionH>
            <wp:positionV relativeFrom="paragraph">
              <wp:posOffset>136525</wp:posOffset>
            </wp:positionV>
            <wp:extent cx="2238375" cy="264414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sz w:val="32"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noProof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3324D9">
      <w:pPr>
        <w:pStyle w:val="NoSpacing"/>
        <w:rPr>
          <w:b/>
          <w:bCs/>
          <w:noProof/>
          <w:color w:val="000000"/>
          <w:sz w:val="16"/>
          <w:szCs w:val="16"/>
          <w:lang w:val="hr-BA"/>
        </w:rPr>
      </w:pPr>
    </w:p>
    <w:p w:rsidR="0082570B" w:rsidRPr="00715429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  <w:r w:rsidRPr="00715429">
        <w:rPr>
          <w:b/>
          <w:bCs/>
          <w:noProof/>
          <w:color w:val="000000"/>
          <w:sz w:val="16"/>
          <w:szCs w:val="16"/>
          <w:lang w:val="hr-BA"/>
        </w:rPr>
        <w:t xml:space="preserve">Autori priloga: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Radovan Živković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 Radojka Martinović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, Olja Tomanović, </w:t>
      </w:r>
      <w:r w:rsidR="00074D6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>Stanko Jeknić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423EE9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C646AC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4B5F63" w:rsidRPr="00715429">
        <w:rPr>
          <w:bCs/>
          <w:noProof/>
          <w:color w:val="000000"/>
          <w:sz w:val="16"/>
          <w:szCs w:val="16"/>
          <w:lang w:val="hr-BA"/>
        </w:rPr>
        <w:t>Marija Novosel</w:t>
      </w:r>
      <w:r w:rsidR="00A423C3" w:rsidRPr="00715429">
        <w:rPr>
          <w:bCs/>
          <w:noProof/>
          <w:color w:val="000000"/>
          <w:sz w:val="16"/>
          <w:szCs w:val="16"/>
          <w:lang w:val="hr-BA"/>
        </w:rPr>
        <w:t>,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 xml:space="preserve"> Zdenka</w:t>
      </w:r>
      <w:r w:rsidR="00F03604" w:rsidRPr="00715429">
        <w:rPr>
          <w:bCs/>
          <w:noProof/>
          <w:color w:val="000000"/>
          <w:sz w:val="16"/>
          <w:szCs w:val="16"/>
          <w:lang w:val="hr-BA"/>
        </w:rPr>
        <w:t xml:space="preserve"> </w:t>
      </w:r>
      <w:r w:rsidR="002A2CED" w:rsidRPr="00715429">
        <w:rPr>
          <w:bCs/>
          <w:noProof/>
          <w:color w:val="000000"/>
          <w:sz w:val="16"/>
          <w:szCs w:val="16"/>
          <w:lang w:val="hr-BA"/>
        </w:rPr>
        <w:t>Dabović</w:t>
      </w:r>
      <w:r w:rsidR="00E2362B">
        <w:rPr>
          <w:bCs/>
          <w:noProof/>
          <w:color w:val="000000"/>
          <w:sz w:val="16"/>
          <w:szCs w:val="16"/>
          <w:lang w:val="hr-BA"/>
        </w:rPr>
        <w:t>, Milanka Jovanović</w:t>
      </w: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bCs/>
          <w:noProof/>
          <w:color w:val="000000"/>
          <w:sz w:val="16"/>
          <w:szCs w:val="16"/>
          <w:lang w:val="hr-BA"/>
        </w:rPr>
      </w:pPr>
    </w:p>
    <w:p w:rsidR="00A67F78" w:rsidRPr="00715429" w:rsidRDefault="00A67F78" w:rsidP="00A423C3">
      <w:pPr>
        <w:pStyle w:val="NoSpacing"/>
        <w:outlineLvl w:val="0"/>
        <w:rPr>
          <w:noProof/>
          <w:lang w:val="hr-BA"/>
        </w:rPr>
      </w:pPr>
    </w:p>
    <w:tbl>
      <w:tblPr>
        <w:tblpPr w:leftFromText="180" w:rightFromText="180" w:vertAnchor="text" w:tblpX="108" w:tblpY="1"/>
        <w:tblOverlap w:val="never"/>
        <w:tblW w:w="10740" w:type="dxa"/>
        <w:tblBorders>
          <w:top w:val="thinThickSmallGap" w:sz="18" w:space="0" w:color="auto"/>
          <w:bottom w:val="thinThickSmallGap" w:sz="18" w:space="0" w:color="auto"/>
          <w:insideH w:val="thinThickSmallGap" w:sz="18" w:space="0" w:color="auto"/>
        </w:tblBorders>
        <w:tblLayout w:type="fixed"/>
        <w:tblLook w:val="00A0"/>
      </w:tblPr>
      <w:tblGrid>
        <w:gridCol w:w="6946"/>
        <w:gridCol w:w="3652"/>
        <w:gridCol w:w="142"/>
      </w:tblGrid>
      <w:tr w:rsidR="0082570B" w:rsidRPr="00715429" w:rsidTr="002C4845">
        <w:trPr>
          <w:gridAfter w:val="1"/>
          <w:wAfter w:w="142" w:type="dxa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5065E6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</w:pPr>
            <w:r w:rsidRPr="00715429">
              <w:rPr>
                <w:rFonts w:eastAsia="Times New Roman"/>
                <w:b/>
                <w:noProof/>
                <w:color w:val="000000"/>
                <w:sz w:val="20"/>
                <w:szCs w:val="20"/>
                <w:lang w:val="hr-BA" w:eastAsia="en-US"/>
              </w:rPr>
              <w:t>Međunarodno okruženje</w:t>
            </w:r>
          </w:p>
        </w:tc>
        <w:tc>
          <w:tcPr>
            <w:tcW w:w="3652" w:type="dxa"/>
            <w:vMerge w:val="restart"/>
            <w:tcBorders>
              <w:bottom w:val="nil"/>
            </w:tcBorders>
            <w:vAlign w:val="center"/>
          </w:tcPr>
          <w:p w:rsidR="0082570B" w:rsidRPr="00715429" w:rsidRDefault="002127F9" w:rsidP="001D21BD">
            <w:pPr>
              <w:spacing w:after="0" w:line="240" w:lineRule="auto"/>
              <w:jc w:val="center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  <w:r w:rsidRPr="002127F9">
              <w:rPr>
                <w:rFonts w:cs="Calibri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2268000" cy="2160000"/>
                  <wp:effectExtent l="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2570B" w:rsidRPr="00715429" w:rsidTr="002C4845">
        <w:trPr>
          <w:gridAfter w:val="1"/>
          <w:wAfter w:w="142" w:type="dxa"/>
          <w:trHeight w:hRule="exact" w:val="3226"/>
        </w:trPr>
        <w:tc>
          <w:tcPr>
            <w:tcW w:w="6946" w:type="dxa"/>
            <w:tcBorders>
              <w:top w:val="single" w:sz="4" w:space="0" w:color="auto"/>
            </w:tcBorders>
          </w:tcPr>
          <w:p w:rsidR="00B73FD4" w:rsidRPr="00715429" w:rsidRDefault="00022F81" w:rsidP="00A22FCE">
            <w:pPr>
              <w:spacing w:line="240" w:lineRule="auto"/>
              <w:jc w:val="both"/>
              <w:rPr>
                <w:noProof/>
                <w:sz w:val="20"/>
                <w:szCs w:val="20"/>
                <w:lang w:val="hr-BA"/>
              </w:rPr>
            </w:pPr>
            <w:r>
              <w:rPr>
                <w:noProof/>
                <w:sz w:val="20"/>
                <w:szCs w:val="20"/>
                <w:lang w:val="hr-BA"/>
              </w:rPr>
              <w:t>Kao odgovor na uvođenje sankcija, Rusija je uzvratila kontramjerama u vidu zabrane uvoza mesa, voća, povrća, sira i mliječnih proizvoda iz zemalja koje su uvele sankcije kao i onih koje su ih podržale. Rusko tržište mora da se preorjentiše brzo, jer je Rusija uvoznik skoro polovine potreba za hranom s obzirom na neefikasnu poljoprivrednu proizvodnju i sporu modernizaciju. Vrijednost ruskog uvoza koji se odnosi na ovaj segment iznosi  oko 5 mlrd.€. S obzirom da uvoz pića nije obuhvaćen sankcijama Rusije, Crna Gora neće preptrpj</w:t>
            </w:r>
            <w:r w:rsidR="00340909">
              <w:rPr>
                <w:noProof/>
                <w:sz w:val="20"/>
                <w:szCs w:val="20"/>
                <w:lang w:val="hr-BA"/>
              </w:rPr>
              <w:t>eti štetu iako je među zemljama</w:t>
            </w:r>
            <w:r>
              <w:rPr>
                <w:noProof/>
                <w:sz w:val="20"/>
                <w:szCs w:val="20"/>
                <w:lang w:val="hr-BA"/>
              </w:rPr>
              <w:t xml:space="preserve"> obuhvaćenim ruskim sankcijama. Vrijednost izvoza vina (Plantaže) iznosila je oko 1,7 mil.€ u prethodnoj godini.  Sankcije su izazvale oštar pad rublje i pad cijena ruskih akcija, na jednoj strani,  a na drugoj se u EU  očekuje stagnacija ekonomske aktivnosti u trećem kvartalu, posle slabog rasta u drugom kvartalu. Njemačka je zabilježila pad BDP-a od 0,6%, Italija 0,8% i Francuska 0,1%, dok je Španija zabilježila rast od 2,4%.</w:t>
            </w:r>
          </w:p>
        </w:tc>
        <w:tc>
          <w:tcPr>
            <w:tcW w:w="3652" w:type="dxa"/>
            <w:vMerge/>
            <w:tcBorders>
              <w:top w:val="nil"/>
            </w:tcBorders>
            <w:vAlign w:val="center"/>
          </w:tcPr>
          <w:p w:rsidR="0082570B" w:rsidRPr="00715429" w:rsidRDefault="0082570B" w:rsidP="001D21BD">
            <w:pPr>
              <w:spacing w:after="0" w:line="240" w:lineRule="auto"/>
              <w:ind w:left="34" w:hanging="34"/>
              <w:rPr>
                <w:rFonts w:cs="Calibri"/>
                <w:noProof/>
                <w:color w:val="000000"/>
                <w:sz w:val="20"/>
                <w:szCs w:val="20"/>
                <w:lang w:val="hr-BA"/>
              </w:rPr>
            </w:pPr>
          </w:p>
        </w:tc>
      </w:tr>
      <w:tr w:rsidR="0082570B" w:rsidRPr="00715429" w:rsidTr="002C4845">
        <w:trPr>
          <w:gridAfter w:val="1"/>
          <w:wAfter w:w="14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82570B" w:rsidRPr="00715429" w:rsidRDefault="008A31C0" w:rsidP="001D21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CaptionChar"/>
                <w:noProof/>
                <w:lang w:val="hr-BA"/>
              </w:rPr>
            </w:pPr>
            <w:r w:rsidRPr="00715429">
              <w:rPr>
                <w:rStyle w:val="CaptionChar"/>
                <w:noProof/>
                <w:lang w:val="hr-BA"/>
              </w:rPr>
              <w:t>Realni sektor</w:t>
            </w:r>
          </w:p>
        </w:tc>
        <w:tc>
          <w:tcPr>
            <w:tcW w:w="3652" w:type="dxa"/>
            <w:vMerge w:val="restart"/>
            <w:vAlign w:val="center"/>
          </w:tcPr>
          <w:p w:rsidR="0082570B" w:rsidRPr="00715429" w:rsidRDefault="00DE587D" w:rsidP="001D21BD">
            <w:pPr>
              <w:spacing w:after="0" w:line="240" w:lineRule="auto"/>
              <w:ind w:left="-250"/>
              <w:jc w:val="center"/>
              <w:rPr>
                <w:noProof/>
                <w:lang w:val="hr-BA"/>
              </w:rPr>
            </w:pPr>
            <w:r w:rsidRPr="00DE587D">
              <w:rPr>
                <w:noProof/>
              </w:rPr>
              <w:drawing>
                <wp:inline distT="0" distB="0" distL="0" distR="0">
                  <wp:extent cx="2228850" cy="2190750"/>
                  <wp:effectExtent l="0" t="0" r="0" b="0"/>
                  <wp:docPr id="9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DE587D" w:rsidRPr="00715429" w:rsidTr="002C4845">
        <w:trPr>
          <w:gridAfter w:val="1"/>
          <w:wAfter w:w="142" w:type="dxa"/>
          <w:trHeight w:hRule="exact" w:val="3862"/>
        </w:trPr>
        <w:tc>
          <w:tcPr>
            <w:tcW w:w="6946" w:type="dxa"/>
            <w:tcBorders>
              <w:top w:val="single" w:sz="4" w:space="0" w:color="auto"/>
            </w:tcBorders>
          </w:tcPr>
          <w:p w:rsidR="009729C4" w:rsidRPr="004F72E6" w:rsidRDefault="009729C4" w:rsidP="009729C4">
            <w:pPr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Neuobičajeno loši vremenski uslovi uticali su na pad dolazaka turista u julu 2014, </w:t>
            </w:r>
            <w:r w:rsidRPr="00174BB8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pri čemu su turisti iz Rusije i Ukrajine, koji čine oko 1/3 ukupnog broja, uprkos krizi u tim zemljama, ostvarili rast dolazaka od 5,5% g-n-g. </w:t>
            </w:r>
            <w:r w:rsidRPr="00243EE7">
              <w:rPr>
                <w:sz w:val="20"/>
                <w:szCs w:val="20"/>
              </w:rPr>
              <w:t xml:space="preserve">Pad dolazaka </w:t>
            </w:r>
            <w:r>
              <w:rPr>
                <w:sz w:val="20"/>
                <w:szCs w:val="20"/>
              </w:rPr>
              <w:t xml:space="preserve">(5,7%) </w:t>
            </w:r>
            <w:r w:rsidRPr="00243EE7">
              <w:rPr>
                <w:sz w:val="20"/>
                <w:szCs w:val="20"/>
              </w:rPr>
              <w:t>registrovan je kod turista iz Srbije koji čine oko 1/4 ukupnog broja i domaćih turista</w:t>
            </w:r>
            <w:r>
              <w:rPr>
                <w:sz w:val="20"/>
                <w:szCs w:val="20"/>
              </w:rPr>
              <w:t xml:space="preserve"> (2,9%) koji čine oko 9,0</w:t>
            </w:r>
            <w:r w:rsidRPr="00243EE7">
              <w:rPr>
                <w:sz w:val="20"/>
                <w:szCs w:val="20"/>
              </w:rPr>
              <w:t xml:space="preserve">% </w:t>
            </w:r>
            <w:r>
              <w:rPr>
                <w:sz w:val="20"/>
                <w:szCs w:val="20"/>
              </w:rPr>
              <w:t>ukupnog broja dolazaka.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74BB8">
              <w:rPr>
                <w:sz w:val="20"/>
                <w:szCs w:val="20"/>
              </w:rPr>
              <w:t xml:space="preserve">Crnu Goru je u julu posjetilo 343,5 hilj.turista, što je pad od 1,3% g-n-g, dok je ostvareno 2,3 mil.noćenja ili 0,9% više g-n-g. </w:t>
            </w:r>
            <w:r>
              <w:rPr>
                <w:sz w:val="20"/>
                <w:szCs w:val="20"/>
              </w:rPr>
              <w:t>Industrijska proizvodnja u julu 2014. g-n-g bilježi pad od 16,5%, pri čemu su pad ostvarili sektori „prerađivačka industrija“ 24,6% i „snabdijevanje el.energijom, gasom i parom“ 3,7%, dok je u sektoru „vađenje rude i kamena“ zabilježen rast od 3,3%. U okviru prerađivačke industrije značajan pad u julu g-n-g, bilježi proizvodnja pića (25,8%), farmaceutskih proizvoda (65,2%) i osnovnih metala (27,5%), dok je rast ostvaren kod proizvodnje prehrambenih proizvoda (1,2%), ostalih nemetalnih minerala (4,3%) i mašina i opreme na drugom mjestu nepomenute (3,6%). Vrijednost izvršenih građevinskih radova u II kvartalu 2014. veća je za 3,3% g-n-g, dok je za šest mjeseci g-n-g, iznosio 14,9%.</w:t>
            </w:r>
          </w:p>
          <w:p w:rsidR="00DE587D" w:rsidRPr="00715429" w:rsidRDefault="00DE587D" w:rsidP="009729C4">
            <w:pPr>
              <w:spacing w:line="240" w:lineRule="auto"/>
              <w:jc w:val="both"/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vAlign w:val="center"/>
          </w:tcPr>
          <w:p w:rsidR="00DE587D" w:rsidRPr="00715429" w:rsidRDefault="00DE587D" w:rsidP="00DE587D">
            <w:pPr>
              <w:spacing w:after="119" w:line="240" w:lineRule="auto"/>
              <w:jc w:val="center"/>
              <w:rPr>
                <w:noProof/>
                <w:lang w:val="hr-BA"/>
              </w:rPr>
            </w:pPr>
          </w:p>
        </w:tc>
      </w:tr>
      <w:tr w:rsidR="00DE587D" w:rsidRPr="00715429" w:rsidTr="002C4845">
        <w:trPr>
          <w:gridAfter w:val="1"/>
          <w:wAfter w:w="142" w:type="dxa"/>
          <w:trHeight w:val="215"/>
        </w:trPr>
        <w:tc>
          <w:tcPr>
            <w:tcW w:w="6946" w:type="dxa"/>
            <w:tcBorders>
              <w:bottom w:val="single" w:sz="4" w:space="0" w:color="auto"/>
            </w:tcBorders>
          </w:tcPr>
          <w:p w:rsidR="00DE587D" w:rsidRPr="00715429" w:rsidRDefault="00DE587D" w:rsidP="00DE587D">
            <w:pPr>
              <w:pStyle w:val="NormalWeb"/>
              <w:numPr>
                <w:ilvl w:val="0"/>
                <w:numId w:val="1"/>
              </w:numPr>
              <w:spacing w:after="0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71542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Cijene</w:t>
            </w:r>
          </w:p>
        </w:tc>
        <w:tc>
          <w:tcPr>
            <w:tcW w:w="3652" w:type="dxa"/>
            <w:vMerge w:val="restart"/>
            <w:vAlign w:val="center"/>
          </w:tcPr>
          <w:p w:rsidR="00DE587D" w:rsidRPr="00715429" w:rsidRDefault="009F327D" w:rsidP="00DE587D">
            <w:pPr>
              <w:spacing w:after="0" w:line="240" w:lineRule="auto"/>
              <w:ind w:left="-250"/>
              <w:jc w:val="center"/>
              <w:rPr>
                <w:b/>
                <w:noProof/>
                <w:sz w:val="20"/>
                <w:szCs w:val="20"/>
                <w:lang w:val="hr-BA"/>
              </w:rPr>
            </w:pPr>
            <w:r w:rsidRPr="009F327D">
              <w:rPr>
                <w:b/>
                <w:noProof/>
                <w:sz w:val="20"/>
                <w:szCs w:val="20"/>
              </w:rPr>
              <w:drawing>
                <wp:inline distT="0" distB="0" distL="0" distR="0">
                  <wp:extent cx="2084576" cy="1886350"/>
                  <wp:effectExtent l="0" t="0" r="0" b="0"/>
                  <wp:docPr id="10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DE587D" w:rsidRPr="00715429" w:rsidTr="002C4845">
        <w:trPr>
          <w:gridAfter w:val="1"/>
          <w:wAfter w:w="142" w:type="dxa"/>
          <w:trHeight w:hRule="exact" w:val="3005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DE587D" w:rsidRDefault="009F327D" w:rsidP="000712B9">
            <w:pPr>
              <w:spacing w:line="240" w:lineRule="auto"/>
              <w:jc w:val="both"/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Potrošačke cijene (HICP) u julu 2014. ostale su na istom nivou kao prethodnog mjeseca, dok su u odnosu na jul 2013. niže za 0,9%. </w:t>
            </w:r>
            <w:r w:rsidRPr="009F2C1D">
              <w:rPr>
                <w:rFonts w:asciiTheme="minorHAnsi" w:hAnsiTheme="minorHAnsi"/>
                <w:sz w:val="20"/>
                <w:szCs w:val="20"/>
              </w:rPr>
              <w:t>Stopa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i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>nflacij</w:t>
            </w:r>
            <w:r w:rsidR="00AA6286">
              <w:rPr>
                <w:rFonts w:asciiTheme="minorHAnsi" w:hAnsiTheme="minorHAnsi"/>
                <w:sz w:val="20"/>
                <w:szCs w:val="20"/>
              </w:rPr>
              <w:t>e</w:t>
            </w:r>
            <w:r>
              <w:rPr>
                <w:rFonts w:asciiTheme="minorHAnsi" w:hAnsiTheme="minorHAnsi"/>
                <w:sz w:val="20"/>
                <w:szCs w:val="20"/>
              </w:rPr>
              <w:t>, mjerena harmonizovanim indeksom potrošačkih cijena,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 xml:space="preserve"> u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julu 2014. </w:t>
            </w:r>
            <w:r w:rsidRPr="002B0095">
              <w:rPr>
                <w:rFonts w:asciiTheme="minorHAnsi" w:hAnsiTheme="minorHAnsi"/>
                <w:sz w:val="20"/>
                <w:szCs w:val="20"/>
              </w:rPr>
              <w:t xml:space="preserve">bilježi </w:t>
            </w:r>
            <w:r>
              <w:rPr>
                <w:rFonts w:asciiTheme="minorHAnsi" w:hAnsiTheme="minorHAnsi"/>
                <w:sz w:val="20"/>
                <w:szCs w:val="20"/>
              </w:rPr>
              <w:t>pad od 0,9% g-n-g. Najznač</w:t>
            </w:r>
            <w:r w:rsidR="00AF7CF3">
              <w:rPr>
                <w:rFonts w:asciiTheme="minorHAnsi" w:hAnsiTheme="minorHAnsi"/>
                <w:sz w:val="20"/>
                <w:szCs w:val="20"/>
              </w:rPr>
              <w:t>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jniji uticaj na pad godišnje stope inflacije imala je grupa „hrana i bezalkoholna pića“ sa padom cijena 3,3%, pri čemu je najveći pad zabilježen kod cijena ulja i masti 20,9%, voća 10,9% i povrća </w:t>
            </w:r>
            <w:r w:rsidR="00AE745C">
              <w:rPr>
                <w:rFonts w:asciiTheme="minorHAnsi" w:hAnsiTheme="minorHAnsi"/>
                <w:sz w:val="20"/>
                <w:szCs w:val="20"/>
              </w:rPr>
              <w:t>9,3%.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Uticaj ovih podgrupa u procentnim poenima na zabilježenu godišnju inflaciju u julu iznosio je -0,65p.p. Inflacija, mjerena indeksom potrošačkih cijena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(CPI)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u julu 2014. pokazuje pad od 1,2% g-n-g i pad 0,4% m-n-m, dok je za period januar-jul, pad iznosio 0,8% g-n-g. 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Cijene proizvođača industrijskih proizvoda u </w:t>
            </w:r>
            <w:r>
              <w:rPr>
                <w:rFonts w:asciiTheme="minorHAnsi" w:hAnsiTheme="minorHAnsi"/>
                <w:sz w:val="20"/>
                <w:szCs w:val="20"/>
              </w:rPr>
              <w:t>julu 2014. ostale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 na istom nivou kao prethodnog mjeseca i porasle 0,1% u odnosu na jul 2013. Inflacija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u Evropskoj Uniji u </w:t>
            </w:r>
            <w:r>
              <w:rPr>
                <w:rFonts w:asciiTheme="minorHAnsi" w:hAnsiTheme="minorHAnsi"/>
                <w:sz w:val="20"/>
                <w:szCs w:val="20"/>
              </w:rPr>
              <w:t>julu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 2014. </w:t>
            </w: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>odine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iznosila je </w:t>
            </w:r>
            <w:r>
              <w:rPr>
                <w:rFonts w:asciiTheme="minorHAnsi" w:hAnsiTheme="minorHAnsi"/>
                <w:sz w:val="20"/>
                <w:szCs w:val="20"/>
              </w:rPr>
              <w:t>0,6%, dok je u Eu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 xml:space="preserve">zoni </w:t>
            </w:r>
            <w:r>
              <w:rPr>
                <w:rFonts w:asciiTheme="minorHAnsi" w:hAnsiTheme="minorHAnsi"/>
                <w:sz w:val="20"/>
                <w:szCs w:val="20"/>
              </w:rPr>
              <w:t>iznosila 0,4</w:t>
            </w:r>
            <w:r w:rsidRPr="00CF4446">
              <w:rPr>
                <w:rFonts w:asciiTheme="minorHAnsi" w:hAnsiTheme="minorHAnsi"/>
                <w:sz w:val="20"/>
                <w:szCs w:val="20"/>
              </w:rPr>
              <w:t>%.</w:t>
            </w:r>
          </w:p>
          <w:p w:rsidR="00DE587D" w:rsidRPr="00CF4446" w:rsidRDefault="00DE587D" w:rsidP="009F327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:rsidR="00DE587D" w:rsidRPr="00715429" w:rsidRDefault="00DE587D" w:rsidP="009F327D">
            <w:pPr>
              <w:spacing w:line="240" w:lineRule="auto"/>
              <w:jc w:val="both"/>
              <w:rPr>
                <w:rFonts w:asciiTheme="minorHAnsi" w:hAnsiTheme="minorHAnsi" w:cs="Arial-ItalicMT"/>
                <w:b/>
                <w:iCs/>
                <w:sz w:val="20"/>
                <w:szCs w:val="20"/>
                <w:lang w:val="hr-BA"/>
              </w:rPr>
            </w:pPr>
          </w:p>
          <w:p w:rsidR="00DE587D" w:rsidRPr="00715429" w:rsidRDefault="00DE587D" w:rsidP="009F327D">
            <w:pP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  <w:lang w:val="hr-BA"/>
              </w:rPr>
            </w:pPr>
          </w:p>
        </w:tc>
        <w:tc>
          <w:tcPr>
            <w:tcW w:w="3652" w:type="dxa"/>
            <w:vMerge/>
            <w:tcBorders>
              <w:bottom w:val="thinThickSmallGap" w:sz="18" w:space="0" w:color="auto"/>
            </w:tcBorders>
            <w:vAlign w:val="center"/>
          </w:tcPr>
          <w:p w:rsidR="00DE587D" w:rsidRPr="00715429" w:rsidRDefault="00DE587D" w:rsidP="00DE587D">
            <w:pPr>
              <w:pStyle w:val="NoSpacing"/>
              <w:jc w:val="both"/>
              <w:rPr>
                <w:noProof/>
                <w:sz w:val="20"/>
                <w:szCs w:val="20"/>
                <w:lang w:val="hr-BA"/>
              </w:rPr>
            </w:pPr>
          </w:p>
        </w:tc>
      </w:tr>
      <w:tr w:rsidR="00DE587D" w:rsidRPr="00715429" w:rsidTr="002C4845">
        <w:trPr>
          <w:gridAfter w:val="1"/>
          <w:wAfter w:w="142" w:type="dxa"/>
          <w:trHeight w:hRule="exact" w:val="3799"/>
        </w:trPr>
        <w:tc>
          <w:tcPr>
            <w:tcW w:w="6946" w:type="dxa"/>
            <w:tcBorders>
              <w:top w:val="single" w:sz="4" w:space="0" w:color="auto"/>
              <w:bottom w:val="thinThickSmallGap" w:sz="18" w:space="0" w:color="auto"/>
            </w:tcBorders>
          </w:tcPr>
          <w:p w:rsidR="00DE587D" w:rsidRPr="00A3560C" w:rsidRDefault="00DE587D" w:rsidP="000712B9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Theme="minorHAnsi" w:hAnsiTheme="minorHAnsi" w:cstheme="minorHAnsi"/>
                <w:b/>
                <w:bCs/>
                <w:noProof/>
                <w:color w:val="000000"/>
                <w:sz w:val="22"/>
                <w:szCs w:val="20"/>
                <w:lang w:val="hr-BA"/>
              </w:rPr>
            </w:pPr>
            <w:r w:rsidRPr="00A3560C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Zaposlenost i zarade</w:t>
            </w:r>
          </w:p>
          <w:p w:rsidR="00DE587D" w:rsidRPr="00E34692" w:rsidRDefault="00446DA9" w:rsidP="000712B9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eastAsia="PMingLiU" w:cs="Calibri"/>
                <w:sz w:val="20"/>
                <w:szCs w:val="20"/>
                <w:lang w:eastAsia="zh-TW"/>
              </w:rPr>
            </w:pPr>
            <w:r w:rsidRPr="000712B9">
              <w:rPr>
                <w:b/>
                <w:sz w:val="20"/>
                <w:szCs w:val="18"/>
                <w:lang w:val="sr-Latn-CS"/>
              </w:rPr>
              <w:t>Na tržištu rada zaposlenost se u julu u odnosu na jun povećala (0,9%), a nezaposlenost smanjila (1,4%), što je rezultat uticaja sezone.</w:t>
            </w:r>
            <w:r w:rsidRPr="000712B9">
              <w:rPr>
                <w:sz w:val="20"/>
                <w:szCs w:val="18"/>
                <w:lang w:val="sr-Latn-CS"/>
              </w:rPr>
              <w:t xml:space="preserve"> Broj zaposlenih u julu 2014. je iznosio 141.408 ili 1,5% više nego u julu 2013, dok je uporedo za sedmomje</w:t>
            </w:r>
            <w:r w:rsidR="00B3132A">
              <w:rPr>
                <w:sz w:val="20"/>
                <w:szCs w:val="18"/>
                <w:lang w:val="sr-Latn-CS"/>
              </w:rPr>
              <w:t>sečni period povećana 0,8%. Pri</w:t>
            </w:r>
            <w:r w:rsidRPr="000712B9">
              <w:rPr>
                <w:sz w:val="20"/>
                <w:szCs w:val="18"/>
                <w:lang w:val="sr-Latn-CS"/>
              </w:rPr>
              <w:t xml:space="preserve">tom, broj nezaposlenih je iznosio 31.115 ili 3,4% </w:t>
            </w:r>
            <w:r w:rsidR="00E32881">
              <w:rPr>
                <w:sz w:val="20"/>
                <w:szCs w:val="18"/>
                <w:lang w:val="sr-Latn-CS"/>
              </w:rPr>
              <w:t>više nego u julu 2013, i</w:t>
            </w:r>
            <w:r w:rsidRPr="000712B9">
              <w:rPr>
                <w:sz w:val="20"/>
                <w:szCs w:val="18"/>
                <w:lang w:val="sr-Latn-CS"/>
              </w:rPr>
              <w:t xml:space="preserve"> 5,2%</w:t>
            </w:r>
            <w:r w:rsidR="00A96249">
              <w:rPr>
                <w:sz w:val="20"/>
                <w:szCs w:val="18"/>
                <w:lang w:val="sr-Latn-CS"/>
              </w:rPr>
              <w:t xml:space="preserve"> više nego u istom periodu 2013.</w:t>
            </w:r>
            <w:r w:rsidR="00B3132A">
              <w:rPr>
                <w:sz w:val="20"/>
                <w:szCs w:val="18"/>
                <w:lang w:val="sr-Latn-CS"/>
              </w:rPr>
              <w:t xml:space="preserve"> Stopa</w:t>
            </w:r>
            <w:r w:rsidRPr="000712B9">
              <w:rPr>
                <w:sz w:val="20"/>
                <w:szCs w:val="18"/>
                <w:lang w:val="sr-Latn-CS"/>
              </w:rPr>
              <w:t xml:space="preserve"> nezaposlenosti u julu 2014. je iznosi</w:t>
            </w:r>
            <w:r w:rsidR="00B3132A">
              <w:rPr>
                <w:sz w:val="20"/>
                <w:szCs w:val="18"/>
                <w:lang w:val="sr-Latn-CS"/>
              </w:rPr>
              <w:t>la 3,4% i povećala</w:t>
            </w:r>
            <w:r w:rsidRPr="000712B9">
              <w:rPr>
                <w:sz w:val="20"/>
                <w:szCs w:val="18"/>
                <w:lang w:val="sr-Latn-CS"/>
              </w:rPr>
              <w:t xml:space="preserve"> se za 0,4 p.p. </w:t>
            </w:r>
            <w:r w:rsidR="00D737CD">
              <w:rPr>
                <w:sz w:val="20"/>
                <w:szCs w:val="18"/>
                <w:lang w:val="sr-Latn-CS"/>
              </w:rPr>
              <w:t xml:space="preserve">u odnosu na </w:t>
            </w:r>
            <w:r w:rsidR="00C41B46">
              <w:rPr>
                <w:sz w:val="20"/>
                <w:szCs w:val="18"/>
                <w:lang w:val="sr-Latn-CS"/>
              </w:rPr>
              <w:t>isti mjesec</w:t>
            </w:r>
            <w:r w:rsidR="00D737CD">
              <w:rPr>
                <w:sz w:val="20"/>
                <w:szCs w:val="18"/>
                <w:lang w:val="sr-Latn-CS"/>
              </w:rPr>
              <w:t xml:space="preserve"> prošle godine.</w:t>
            </w:r>
            <w:r w:rsidRPr="000712B9">
              <w:rPr>
                <w:sz w:val="20"/>
                <w:szCs w:val="18"/>
                <w:lang w:val="sr-Latn-CS"/>
              </w:rPr>
              <w:t xml:space="preserve"> Broj oglašenih slobodnih radnih mjesta za sedam mjeseci 2014. je iznosio 25</w:t>
            </w:r>
            <w:r w:rsidR="00AC28E1">
              <w:rPr>
                <w:sz w:val="20"/>
                <w:szCs w:val="18"/>
                <w:lang w:val="sr-Latn-CS"/>
              </w:rPr>
              <w:t>.</w:t>
            </w:r>
            <w:r w:rsidRPr="000712B9">
              <w:rPr>
                <w:sz w:val="20"/>
                <w:szCs w:val="18"/>
                <w:lang w:val="sr-Latn-CS"/>
              </w:rPr>
              <w:t xml:space="preserve">466 ili 2,8 puta više </w:t>
            </w:r>
            <w:r w:rsidR="00CC7595">
              <w:rPr>
                <w:sz w:val="20"/>
                <w:szCs w:val="18"/>
                <w:lang w:val="sr-Latn-CS"/>
              </w:rPr>
              <w:t>g-n-g</w:t>
            </w:r>
            <w:r w:rsidRPr="000712B9">
              <w:rPr>
                <w:sz w:val="20"/>
                <w:szCs w:val="18"/>
                <w:lang w:val="sr-Latn-CS"/>
              </w:rPr>
              <w:t>, dok je broj izdatih radnih dozvola strancima iznosio 1</w:t>
            </w:r>
            <w:r w:rsidR="00AA728A">
              <w:rPr>
                <w:sz w:val="20"/>
                <w:szCs w:val="18"/>
                <w:lang w:val="sr-Latn-CS"/>
              </w:rPr>
              <w:t>5</w:t>
            </w:r>
            <w:r w:rsidR="00AC28E1">
              <w:rPr>
                <w:sz w:val="20"/>
                <w:szCs w:val="18"/>
                <w:lang w:val="sr-Latn-CS"/>
              </w:rPr>
              <w:t>.</w:t>
            </w:r>
            <w:r w:rsidR="00AA728A">
              <w:rPr>
                <w:sz w:val="20"/>
                <w:szCs w:val="18"/>
                <w:lang w:val="sr-Latn-CS"/>
              </w:rPr>
              <w:t>953 ili</w:t>
            </w:r>
            <w:r w:rsidR="00F037C2">
              <w:rPr>
                <w:sz w:val="20"/>
                <w:szCs w:val="18"/>
                <w:lang w:val="sr-Latn-CS"/>
              </w:rPr>
              <w:t xml:space="preserve"> za 1,3% manje</w:t>
            </w:r>
            <w:r w:rsidR="00AC28E1">
              <w:rPr>
                <w:sz w:val="20"/>
                <w:szCs w:val="18"/>
                <w:lang w:val="sr-Latn-CS"/>
              </w:rPr>
              <w:t xml:space="preserve"> </w:t>
            </w:r>
            <w:r w:rsidR="00AA728A">
              <w:rPr>
                <w:sz w:val="20"/>
                <w:szCs w:val="18"/>
                <w:lang w:val="sr-Latn-CS"/>
              </w:rPr>
              <w:t>g-n-g</w:t>
            </w:r>
            <w:r w:rsidR="00AC28E1">
              <w:rPr>
                <w:sz w:val="20"/>
                <w:szCs w:val="18"/>
                <w:lang w:val="sr-Latn-CS"/>
              </w:rPr>
              <w:t xml:space="preserve">. </w:t>
            </w:r>
            <w:r w:rsidRPr="000712B9">
              <w:rPr>
                <w:sz w:val="20"/>
                <w:szCs w:val="18"/>
                <w:lang w:val="sr-Latn-CS"/>
              </w:rPr>
              <w:t xml:space="preserve">Prosječna zarada </w:t>
            </w:r>
            <w:r w:rsidR="00F92FB6">
              <w:rPr>
                <w:sz w:val="20"/>
                <w:szCs w:val="18"/>
                <w:lang w:val="sr-Latn-CS"/>
              </w:rPr>
              <w:t>u julu 2014. je iznosila 713€, i</w:t>
            </w:r>
            <w:r w:rsidRPr="000712B9">
              <w:rPr>
                <w:sz w:val="20"/>
                <w:szCs w:val="18"/>
                <w:lang w:val="sr-Latn-CS"/>
              </w:rPr>
              <w:t xml:space="preserve"> manja je 1,7% u odnosu na jun, a za uporedni sedmomjesečni period manja </w:t>
            </w:r>
            <w:r w:rsidR="00303F02">
              <w:rPr>
                <w:sz w:val="20"/>
                <w:szCs w:val="18"/>
                <w:lang w:val="sr-Latn-CS"/>
              </w:rPr>
              <w:t xml:space="preserve">je </w:t>
            </w:r>
            <w:r w:rsidRPr="000712B9">
              <w:rPr>
                <w:sz w:val="20"/>
                <w:szCs w:val="18"/>
                <w:lang w:val="sr-Latn-CS"/>
              </w:rPr>
              <w:t xml:space="preserve">za 0,4%. Neto zarade u julu 2014.  iznosile </w:t>
            </w:r>
            <w:r w:rsidR="00303F02">
              <w:rPr>
                <w:sz w:val="20"/>
                <w:szCs w:val="18"/>
                <w:lang w:val="sr-Latn-CS"/>
              </w:rPr>
              <w:t xml:space="preserve">su </w:t>
            </w:r>
            <w:r w:rsidRPr="000712B9">
              <w:rPr>
                <w:sz w:val="20"/>
                <w:szCs w:val="18"/>
                <w:lang w:val="sr-Latn-CS"/>
              </w:rPr>
              <w:t xml:space="preserve">470€, </w:t>
            </w:r>
            <w:r w:rsidR="006B21AB">
              <w:rPr>
                <w:sz w:val="20"/>
                <w:szCs w:val="18"/>
                <w:lang w:val="sr-Latn-CS"/>
              </w:rPr>
              <w:t>i smanjene su 1,7% g-n-g, dok su u pe</w:t>
            </w:r>
            <w:r w:rsidR="00CF7392">
              <w:rPr>
                <w:sz w:val="20"/>
                <w:szCs w:val="18"/>
                <w:lang w:val="sr-Latn-CS"/>
              </w:rPr>
              <w:t>riodu januar-jul, smanjene 0,8%</w:t>
            </w:r>
            <w:r w:rsidR="00CC7595">
              <w:rPr>
                <w:sz w:val="20"/>
                <w:szCs w:val="18"/>
                <w:lang w:val="sr-Latn-CS"/>
              </w:rPr>
              <w:t xml:space="preserve"> g-n-g</w:t>
            </w:r>
            <w:r w:rsidR="00CF7392">
              <w:rPr>
                <w:sz w:val="20"/>
                <w:szCs w:val="18"/>
                <w:lang w:val="sr-Latn-CS"/>
              </w:rPr>
              <w:t>.</w:t>
            </w:r>
            <w:r w:rsidRPr="000712B9">
              <w:rPr>
                <w:sz w:val="20"/>
                <w:szCs w:val="18"/>
                <w:lang w:val="sr-Latn-CS"/>
              </w:rPr>
              <w:t xml:space="preserve"> Neto zarada u</w:t>
            </w:r>
            <w:r w:rsidR="005B32A9">
              <w:rPr>
                <w:sz w:val="20"/>
                <w:szCs w:val="18"/>
                <w:lang w:val="sr-Latn-CS"/>
              </w:rPr>
              <w:t xml:space="preserve"> julu 2014</w:t>
            </w:r>
            <w:r w:rsidRPr="000712B9">
              <w:rPr>
                <w:sz w:val="20"/>
                <w:szCs w:val="18"/>
                <w:lang w:val="sr-Latn-CS"/>
              </w:rPr>
              <w:t>. realno je smanjena za 1,3%</w:t>
            </w:r>
            <w:r w:rsidR="005B32A9">
              <w:rPr>
                <w:sz w:val="20"/>
                <w:szCs w:val="18"/>
                <w:lang w:val="sr-Latn-CS"/>
              </w:rPr>
              <w:t xml:space="preserve"> g-n-g</w:t>
            </w:r>
            <w:r w:rsidRPr="000712B9">
              <w:rPr>
                <w:sz w:val="20"/>
                <w:szCs w:val="18"/>
                <w:lang w:val="sr-Latn-CS"/>
              </w:rPr>
              <w:t xml:space="preserve">, a u periodu januar-jul 2014. je na istom nivou kao u </w:t>
            </w:r>
            <w:r w:rsidR="00E1390E">
              <w:rPr>
                <w:sz w:val="20"/>
                <w:szCs w:val="18"/>
                <w:lang w:val="sr-Latn-CS"/>
              </w:rPr>
              <w:t xml:space="preserve">uporednom </w:t>
            </w:r>
            <w:r w:rsidRPr="000712B9">
              <w:rPr>
                <w:sz w:val="20"/>
                <w:szCs w:val="18"/>
                <w:lang w:val="sr-Latn-CS"/>
              </w:rPr>
              <w:t>periodu  2013.</w:t>
            </w:r>
          </w:p>
          <w:p w:rsidR="00DE587D" w:rsidRPr="00E34692" w:rsidRDefault="00DE587D" w:rsidP="00DE587D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  <w:p w:rsidR="00DE587D" w:rsidRPr="00E34692" w:rsidRDefault="00DE587D" w:rsidP="00DE587D">
            <w:pPr>
              <w:pStyle w:val="NormalWeb"/>
              <w:spacing w:after="0"/>
              <w:jc w:val="both"/>
              <w:rPr>
                <w:rFonts w:ascii="Calibri" w:eastAsia="PMingLiU" w:hAnsi="Calibri" w:cs="Calibri"/>
                <w:sz w:val="20"/>
                <w:szCs w:val="20"/>
                <w:lang w:eastAsia="zh-TW"/>
              </w:rPr>
            </w:pPr>
          </w:p>
        </w:tc>
        <w:tc>
          <w:tcPr>
            <w:tcW w:w="3652" w:type="dxa"/>
            <w:tcBorders>
              <w:bottom w:val="thinThickSmallGap" w:sz="18" w:space="0" w:color="auto"/>
            </w:tcBorders>
            <w:vAlign w:val="center"/>
          </w:tcPr>
          <w:p w:rsidR="00DE587D" w:rsidRPr="00715429" w:rsidRDefault="00DE587D" w:rsidP="00DE587D">
            <w:pPr>
              <w:pStyle w:val="NoSpacing"/>
              <w:jc w:val="center"/>
              <w:rPr>
                <w:noProof/>
                <w:sz w:val="20"/>
                <w:szCs w:val="20"/>
                <w:lang w:val="hr-BA"/>
              </w:rPr>
            </w:pPr>
            <w:r w:rsidRPr="00C237D7">
              <w:rPr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985848" cy="1844043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DE587D" w:rsidRPr="00715429" w:rsidTr="008F56AC">
        <w:trPr>
          <w:trHeight w:hRule="exact" w:val="4613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E587D" w:rsidRPr="003A6A2F" w:rsidRDefault="00DE587D" w:rsidP="003A6A2F">
            <w:pPr>
              <w:pStyle w:val="NormalWeb"/>
              <w:numPr>
                <w:ilvl w:val="0"/>
                <w:numId w:val="1"/>
              </w:numPr>
              <w:pBdr>
                <w:bottom w:val="single" w:sz="4" w:space="1" w:color="auto"/>
              </w:pBdr>
              <w:spacing w:before="0" w:beforeAutospacing="0" w:after="0"/>
              <w:ind w:left="357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3A6A2F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Javne finansije</w:t>
            </w:r>
          </w:p>
          <w:p w:rsidR="00DE587D" w:rsidRPr="002A1639" w:rsidRDefault="00FB3CC6" w:rsidP="00340909">
            <w:pPr>
              <w:spacing w:after="0" w:line="240" w:lineRule="auto"/>
              <w:jc w:val="both"/>
              <w:rPr>
                <w:rFonts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3A6A2F">
              <w:rPr>
                <w:rFonts w:asciiTheme="minorHAnsi" w:hAnsiTheme="minorHAnsi" w:cstheme="minorHAnsi"/>
                <w:b/>
                <w:sz w:val="20"/>
                <w:szCs w:val="20"/>
              </w:rPr>
              <w:t>Izvorni prihodi budžeta Crne Gore u julu 2014.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ostvareni su u iznosu od 120,7 mil</w:t>
            </w:r>
            <w:r w:rsidR="009C6D28">
              <w:rPr>
                <w:rFonts w:asciiTheme="minorHAnsi" w:hAnsiTheme="minorHAnsi" w:cstheme="minorHAnsi"/>
                <w:sz w:val="20"/>
                <w:szCs w:val="20"/>
              </w:rPr>
              <w:t>.€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>, što je za 1,5 % ma</w:t>
            </w:r>
            <w:r w:rsidR="009C6D28">
              <w:rPr>
                <w:rFonts w:asciiTheme="minorHAnsi" w:hAnsiTheme="minorHAnsi" w:cstheme="minorHAnsi"/>
                <w:sz w:val="20"/>
                <w:szCs w:val="20"/>
              </w:rPr>
              <w:t>nje u odnosu na jul 2013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>. Pritom, naplata prihoda po osnovu PDV-a manja je 3,</w:t>
            </w:r>
            <w:r w:rsidR="009C6D28">
              <w:rPr>
                <w:rFonts w:asciiTheme="minorHAnsi" w:hAnsiTheme="minorHAnsi" w:cstheme="minorHAnsi"/>
                <w:sz w:val="20"/>
                <w:szCs w:val="20"/>
              </w:rPr>
              <w:t>3 % u odnosu na jul 2013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>. Ovo  je posljedica niže potrošnje u sektoru turizma u odnosu na prošlu god</w:t>
            </w:r>
            <w:r w:rsidR="004E12DB">
              <w:rPr>
                <w:rFonts w:asciiTheme="minorHAnsi" w:hAnsiTheme="minorHAnsi" w:cstheme="minorHAnsi"/>
                <w:sz w:val="20"/>
                <w:szCs w:val="20"/>
              </w:rPr>
              <w:t>inu. Naplata prihoda od poreza i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d</w:t>
            </w:r>
            <w:r w:rsidR="00340909">
              <w:rPr>
                <w:rFonts w:asciiTheme="minorHAnsi" w:hAnsiTheme="minorHAnsi" w:cstheme="minorHAnsi"/>
                <w:sz w:val="20"/>
                <w:szCs w:val="20"/>
              </w:rPr>
              <w:t>oprinosa u ovom mjesecu povećana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40909">
              <w:rPr>
                <w:rFonts w:asciiTheme="minorHAnsi" w:hAnsiTheme="minorHAnsi" w:cstheme="minorHAnsi"/>
                <w:sz w:val="20"/>
                <w:szCs w:val="20"/>
              </w:rPr>
              <w:t>je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za 2,5% u odnosu na isti mjesec prošle godine. </w:t>
            </w:r>
            <w:r w:rsidRPr="003A6A2F">
              <w:rPr>
                <w:rFonts w:asciiTheme="minorHAnsi" w:hAnsiTheme="minorHAnsi" w:cstheme="minorHAnsi"/>
                <w:b/>
                <w:sz w:val="20"/>
                <w:szCs w:val="20"/>
              </w:rPr>
              <w:t>Izdaci budžeta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u ju</w:t>
            </w:r>
            <w:r w:rsidR="009C6D28">
              <w:rPr>
                <w:rFonts w:asciiTheme="minorHAnsi" w:hAnsiTheme="minorHAnsi" w:cstheme="minorHAnsi"/>
                <w:sz w:val="20"/>
                <w:szCs w:val="20"/>
              </w:rPr>
              <w:t>lu 2014.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iznosili su 101,5 mi</w:t>
            </w:r>
            <w:r w:rsidR="00050101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340909">
              <w:rPr>
                <w:rFonts w:asciiTheme="minorHAnsi" w:hAnsiTheme="minorHAnsi" w:cstheme="minorHAnsi"/>
                <w:sz w:val="20"/>
                <w:szCs w:val="20"/>
              </w:rPr>
              <w:t>iona eura i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niži su u od</w:t>
            </w:r>
            <w:r w:rsidR="009C6D28">
              <w:rPr>
                <w:rFonts w:asciiTheme="minorHAnsi" w:hAnsiTheme="minorHAnsi" w:cstheme="minorHAnsi"/>
                <w:sz w:val="20"/>
                <w:szCs w:val="20"/>
              </w:rPr>
              <w:t>nosu na isti mjesec 2013.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za 58,8 miliona eura, ili 36,7 %,</w:t>
            </w:r>
            <w:r w:rsidR="00F16D4D">
              <w:rPr>
                <w:rFonts w:asciiTheme="minorHAnsi" w:hAnsiTheme="minorHAnsi" w:cstheme="minorHAnsi"/>
                <w:sz w:val="20"/>
                <w:szCs w:val="20"/>
              </w:rPr>
              <w:t xml:space="preserve"> (kao posljedica plaćenih garancija u iznosu </w:t>
            </w:r>
            <w:r w:rsidR="008F56AC">
              <w:rPr>
                <w:rFonts w:asciiTheme="minorHAnsi" w:hAnsiTheme="minorHAnsi" w:cstheme="minorHAnsi"/>
                <w:sz w:val="20"/>
                <w:szCs w:val="20"/>
              </w:rPr>
              <w:t>od 60,1 mil. € u julu 2013.</w:t>
            </w:r>
            <w:r w:rsidR="00F16D4D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34090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4306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6A2F">
              <w:rPr>
                <w:rFonts w:asciiTheme="minorHAnsi" w:hAnsiTheme="minorHAnsi" w:cstheme="minorHAnsi"/>
                <w:b/>
                <w:sz w:val="20"/>
                <w:szCs w:val="20"/>
              </w:rPr>
              <w:t>Suficit budžeta</w:t>
            </w:r>
            <w:r w:rsidR="008F56AC">
              <w:rPr>
                <w:rFonts w:asciiTheme="minorHAnsi" w:hAnsiTheme="minorHAnsi" w:cstheme="minorHAnsi"/>
                <w:sz w:val="20"/>
                <w:szCs w:val="20"/>
              </w:rPr>
              <w:t xml:space="preserve"> u julu 2014.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iznosio je 19,1 mil</w:t>
            </w:r>
            <w:r w:rsidR="009C6D28">
              <w:rPr>
                <w:rFonts w:asciiTheme="minorHAnsi" w:hAnsiTheme="minorHAnsi" w:cstheme="minorHAnsi"/>
                <w:sz w:val="20"/>
                <w:szCs w:val="20"/>
              </w:rPr>
              <w:t>.€,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dok je u periodu januar-jul 2014. budžetski deficit iznosio 44,8 mil</w:t>
            </w:r>
            <w:r w:rsidR="008D6E5C">
              <w:rPr>
                <w:rFonts w:asciiTheme="minorHAnsi" w:hAnsiTheme="minorHAnsi" w:cstheme="minorHAnsi"/>
                <w:sz w:val="20"/>
                <w:szCs w:val="20"/>
              </w:rPr>
              <w:t>.€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4E7335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niži je za 60,8% u odnosu na isti period 2013</w:t>
            </w:r>
            <w:r w:rsidR="00340909">
              <w:rPr>
                <w:rFonts w:asciiTheme="minorHAnsi" w:hAnsiTheme="minorHAnsi" w:cstheme="minorHAnsi"/>
                <w:sz w:val="20"/>
                <w:szCs w:val="20"/>
              </w:rPr>
              <w:t>. usljed plaćenih garancija u 2013</w:t>
            </w:r>
            <w:r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 w:rsidR="004306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A3489" w:rsidRPr="00912CF8">
              <w:rPr>
                <w:rFonts w:asciiTheme="minorHAnsi" w:hAnsiTheme="minorHAnsi" w:cstheme="minorHAnsi"/>
                <w:b/>
                <w:sz w:val="20"/>
                <w:szCs w:val="20"/>
              </w:rPr>
              <w:t>Državni dug</w:t>
            </w:r>
            <w:r w:rsidR="004A3489" w:rsidRPr="004A3489">
              <w:rPr>
                <w:rFonts w:asciiTheme="minorHAnsi" w:hAnsiTheme="minorHAnsi" w:cstheme="minorHAnsi"/>
                <w:sz w:val="20"/>
                <w:szCs w:val="20"/>
              </w:rPr>
              <w:t xml:space="preserve"> na kraju juna 2014. iznosio je 2.022,1 mil</w:t>
            </w:r>
            <w:r w:rsidR="008D6E5C">
              <w:rPr>
                <w:rFonts w:asciiTheme="minorHAnsi" w:hAnsiTheme="minorHAnsi" w:cstheme="minorHAnsi"/>
                <w:sz w:val="20"/>
                <w:szCs w:val="20"/>
              </w:rPr>
              <w:t>.€,</w:t>
            </w:r>
            <w:r w:rsidR="004A3489" w:rsidRPr="004A3489">
              <w:rPr>
                <w:rFonts w:asciiTheme="minorHAnsi" w:hAnsiTheme="minorHAnsi" w:cstheme="minorHAnsi"/>
                <w:sz w:val="20"/>
                <w:szCs w:val="20"/>
              </w:rPr>
              <w:t xml:space="preserve"> što predstavlja </w:t>
            </w:r>
            <w:r w:rsidR="00340909">
              <w:rPr>
                <w:rFonts w:asciiTheme="minorHAnsi" w:hAnsiTheme="minorHAnsi" w:cstheme="minorHAnsi"/>
                <w:sz w:val="20"/>
                <w:szCs w:val="20"/>
              </w:rPr>
              <w:t>57,5</w:t>
            </w:r>
            <w:r w:rsidR="004A3489" w:rsidRPr="004A3489">
              <w:rPr>
                <w:rFonts w:asciiTheme="minorHAnsi" w:hAnsiTheme="minorHAnsi" w:cstheme="minorHAnsi"/>
                <w:sz w:val="20"/>
                <w:szCs w:val="20"/>
              </w:rPr>
              <w:t xml:space="preserve"> % procijenjenog BDP-a Crne Gore i povećan je za 1,4 p.p. u odnosu na kraj 2013, kao rezultat nominalnog rasta zaduženja, </w:t>
            </w:r>
            <w:r w:rsidR="00340909">
              <w:rPr>
                <w:rFonts w:asciiTheme="minorHAnsi" w:hAnsiTheme="minorHAnsi" w:cstheme="minorHAnsi"/>
                <w:sz w:val="20"/>
                <w:szCs w:val="20"/>
              </w:rPr>
              <w:t xml:space="preserve">i smanjen je </w:t>
            </w:r>
            <w:r w:rsidR="00340909" w:rsidRPr="003A6A2F">
              <w:rPr>
                <w:rFonts w:asciiTheme="minorHAnsi" w:hAnsiTheme="minorHAnsi" w:cstheme="minorHAnsi"/>
                <w:sz w:val="20"/>
                <w:szCs w:val="20"/>
              </w:rPr>
              <w:t xml:space="preserve"> za 0,5 p.p. u odnosu na kraj 2013.  </w:t>
            </w:r>
            <w:r w:rsidR="004A3489" w:rsidRPr="004A3489">
              <w:rPr>
                <w:rFonts w:asciiTheme="minorHAnsi" w:hAnsiTheme="minorHAnsi" w:cstheme="minorHAnsi"/>
                <w:sz w:val="20"/>
                <w:szCs w:val="20"/>
              </w:rPr>
              <w:t>Unutrašnji dug iznosio je 438,3 mil</w:t>
            </w:r>
            <w:r w:rsidR="008D6E5C">
              <w:rPr>
                <w:rFonts w:asciiTheme="minorHAnsi" w:hAnsiTheme="minorHAnsi" w:cstheme="minorHAnsi"/>
                <w:sz w:val="20"/>
                <w:szCs w:val="20"/>
              </w:rPr>
              <w:t>.€</w:t>
            </w:r>
            <w:r w:rsidR="004A3489" w:rsidRPr="004A3489">
              <w:rPr>
                <w:rFonts w:asciiTheme="minorHAnsi" w:hAnsiTheme="minorHAnsi" w:cstheme="minorHAnsi"/>
                <w:sz w:val="20"/>
                <w:szCs w:val="20"/>
              </w:rPr>
              <w:t>, a dug prema nerezidentima 1.583,8 mil</w:t>
            </w:r>
            <w:r w:rsidR="008D6E5C">
              <w:rPr>
                <w:rFonts w:asciiTheme="minorHAnsi" w:hAnsiTheme="minorHAnsi" w:cstheme="minorHAnsi"/>
                <w:sz w:val="20"/>
                <w:szCs w:val="20"/>
              </w:rPr>
              <w:t>.€</w:t>
            </w:r>
            <w:r w:rsidR="004A3489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E587D" w:rsidRPr="003C1215" w:rsidRDefault="00FB3CC6" w:rsidP="00DE587D">
            <w:pPr>
              <w:rPr>
                <w:noProof/>
                <w:sz w:val="17"/>
                <w:szCs w:val="17"/>
                <w:lang w:val="sr-Latn-CS" w:eastAsia="sr-Latn-CS"/>
              </w:rPr>
            </w:pPr>
            <w:r w:rsidRPr="00FB3CC6">
              <w:rPr>
                <w:noProof/>
                <w:sz w:val="17"/>
                <w:szCs w:val="17"/>
              </w:rPr>
              <w:drawing>
                <wp:inline distT="0" distB="0" distL="0" distR="0">
                  <wp:extent cx="2285609" cy="2232962"/>
                  <wp:effectExtent l="19050" t="0" r="19441" b="0"/>
                  <wp:docPr id="3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DE587D" w:rsidRPr="00715429" w:rsidTr="002C4845">
        <w:trPr>
          <w:trHeight w:hRule="exact" w:val="4527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E587D" w:rsidRPr="000712B9" w:rsidRDefault="00DE587D" w:rsidP="000712B9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</w:pPr>
            <w:r w:rsidRPr="000712B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>Monetarni sektor</w:t>
            </w:r>
          </w:p>
          <w:p w:rsidR="00DE587D" w:rsidRPr="003C543D" w:rsidRDefault="00DE587D" w:rsidP="00DE587D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Julska kretanja obilježio je rast kreditne aktivnosti na mjesečnom nivou i povećanje ukupnih depozita i kapitala. </w:t>
            </w:r>
            <w:r>
              <w:rPr>
                <w:noProof/>
                <w:sz w:val="20"/>
                <w:szCs w:val="20"/>
              </w:rPr>
              <w:t xml:space="preserve">Ukupni </w:t>
            </w:r>
            <w:r w:rsidRPr="004512FD">
              <w:rPr>
                <w:b/>
                <w:noProof/>
                <w:sz w:val="20"/>
                <w:szCs w:val="20"/>
              </w:rPr>
              <w:t>depozit</w:t>
            </w:r>
            <w:r>
              <w:rPr>
                <w:b/>
                <w:noProof/>
                <w:sz w:val="20"/>
                <w:szCs w:val="20"/>
              </w:rPr>
              <w:t>i</w:t>
            </w:r>
            <w:r w:rsidRPr="00436828">
              <w:rPr>
                <w:noProof/>
                <w:sz w:val="20"/>
                <w:szCs w:val="20"/>
              </w:rPr>
              <w:t xml:space="preserve"> su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Pr="00436828">
              <w:rPr>
                <w:noProof/>
                <w:sz w:val="20"/>
                <w:szCs w:val="20"/>
              </w:rPr>
              <w:t>iznosili</w:t>
            </w:r>
            <w:r>
              <w:rPr>
                <w:noProof/>
                <w:sz w:val="20"/>
                <w:szCs w:val="20"/>
              </w:rPr>
              <w:t xml:space="preserve"> 2.188,2 mil.€ i na mjesečnom nivou su ostvarili rast od 1,9% i na godišnjem 5,4%. Rastu depozita najviše je doprinio sektor stanovništva i privrede, pri čemu je sektor stanovništva, kao najznačajniji deponent bankarskog sistema, ostvario neto štednju od 376,5 mil.€, što je za 21,3% više u odnosu na isti mjesec prethodne godine.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Ukupno odobreni</w:t>
            </w:r>
            <w:r w:rsidRPr="00E91677">
              <w:rPr>
                <w:b/>
                <w:noProof/>
                <w:sz w:val="20"/>
                <w:szCs w:val="20"/>
              </w:rPr>
              <w:t xml:space="preserve"> krediti</w:t>
            </w:r>
            <w:r w:rsidRPr="00ED7ABA"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banaka</w:t>
            </w:r>
            <w:r w:rsidRPr="003C543D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su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krajem jula iznosili 2.402,7mil. € i povećani su za 1,1% ili 26,4 mil.€ na mjesečnom nivou, dok su za 4,1% smanjeni u odnosu na isti mjesec prethodne godine.</w:t>
            </w:r>
            <w:r w:rsidR="00DA40A3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Pritom, za sedam mjeseci ove godine odobreno</w:t>
            </w:r>
            <w:r w:rsidR="0098375C">
              <w:rPr>
                <w:noProof/>
                <w:sz w:val="20"/>
                <w:szCs w:val="20"/>
              </w:rPr>
              <w:t xml:space="preserve"> je</w:t>
            </w:r>
            <w:r>
              <w:rPr>
                <w:noProof/>
                <w:sz w:val="20"/>
                <w:szCs w:val="20"/>
              </w:rPr>
              <w:t xml:space="preserve"> 415,7 mil.€ novih kreditnih plasmana, što predstavlja rast od 3,9% ili 15,5 mil.€ u odnosu na isti period prethodne godine. </w:t>
            </w:r>
            <w:r w:rsidRPr="00DB0286">
              <w:rPr>
                <w:b/>
                <w:noProof/>
                <w:sz w:val="20"/>
                <w:szCs w:val="20"/>
              </w:rPr>
              <w:t>Nelikvidnost</w:t>
            </w:r>
            <w:r>
              <w:rPr>
                <w:noProof/>
                <w:sz w:val="20"/>
                <w:szCs w:val="20"/>
              </w:rPr>
              <w:t xml:space="preserve"> realnog sektora se ogleda kroz broj blokiranih pravnih lica, koji </w:t>
            </w:r>
            <w:r w:rsidR="004E12DB">
              <w:rPr>
                <w:noProof/>
                <w:sz w:val="20"/>
                <w:szCs w:val="20"/>
              </w:rPr>
              <w:t>je</w:t>
            </w:r>
            <w:r>
              <w:rPr>
                <w:noProof/>
                <w:sz w:val="20"/>
                <w:szCs w:val="20"/>
              </w:rPr>
              <w:t xml:space="preserve"> u julu </w:t>
            </w:r>
            <w:r w:rsidR="004E12DB">
              <w:rPr>
                <w:noProof/>
                <w:sz w:val="20"/>
                <w:szCs w:val="20"/>
              </w:rPr>
              <w:t>ove godine iznosio</w:t>
            </w:r>
            <w:r>
              <w:rPr>
                <w:noProof/>
                <w:sz w:val="20"/>
                <w:szCs w:val="20"/>
              </w:rPr>
              <w:t xml:space="preserve"> 13.653, što je u odnosu na stanje</w:t>
            </w:r>
            <w:r w:rsidR="0023090D">
              <w:rPr>
                <w:noProof/>
                <w:sz w:val="20"/>
                <w:szCs w:val="20"/>
              </w:rPr>
              <w:t xml:space="preserve"> iz prethodnog mjeseca više za </w:t>
            </w:r>
            <w:r>
              <w:rPr>
                <w:noProof/>
                <w:sz w:val="20"/>
                <w:szCs w:val="20"/>
              </w:rPr>
              <w:t xml:space="preserve">38 kompanija ili 0,73%, dok je ukupan dug sa iznosom od 445,7 mil.€, smanjen za 8,7% u odnosu na prethodni mjesec. Aktivne </w:t>
            </w:r>
            <w:r w:rsidRPr="00F7742A">
              <w:rPr>
                <w:b/>
                <w:noProof/>
                <w:sz w:val="20"/>
                <w:szCs w:val="20"/>
              </w:rPr>
              <w:t>kamatne stope</w:t>
            </w:r>
            <w:r>
              <w:rPr>
                <w:noProof/>
                <w:sz w:val="20"/>
                <w:szCs w:val="20"/>
              </w:rPr>
              <w:t xml:space="preserve"> su i dalje visoke, tako da je kamatna stopa na ukupne kredite iznosila 9,55% i bila je na nivou iz prethodnog mjeseca,</w:t>
            </w:r>
            <w:r w:rsidR="00A35630">
              <w:rPr>
                <w:noProof/>
                <w:sz w:val="20"/>
                <w:szCs w:val="20"/>
              </w:rPr>
              <w:t xml:space="preserve"> dok je pasivna kamatna stopa </w:t>
            </w:r>
            <w:r>
              <w:rPr>
                <w:noProof/>
                <w:sz w:val="20"/>
                <w:szCs w:val="20"/>
              </w:rPr>
              <w:t>iznosila 2,08% i zabilježila je pad od 0,11 p. p. na mjesečnom nivou.</w:t>
            </w:r>
          </w:p>
          <w:p w:rsidR="00DE587D" w:rsidRPr="00715429" w:rsidRDefault="00DE587D" w:rsidP="00DE587D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  <w:lang w:val="hr-BA"/>
              </w:rPr>
            </w:pP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E587D" w:rsidRPr="00715429" w:rsidRDefault="00DE587D" w:rsidP="00DE587D">
            <w:pPr>
              <w:rPr>
                <w:noProof/>
                <w:sz w:val="17"/>
                <w:szCs w:val="17"/>
                <w:lang w:val="hr-BA" w:eastAsia="sr-Latn-CS"/>
              </w:rPr>
            </w:pPr>
            <w:r w:rsidRPr="00562086">
              <w:rPr>
                <w:noProof/>
                <w:sz w:val="17"/>
                <w:szCs w:val="17"/>
              </w:rPr>
              <w:drawing>
                <wp:inline distT="0" distB="0" distL="0" distR="0">
                  <wp:extent cx="2307167" cy="1957917"/>
                  <wp:effectExtent l="0" t="0" r="0" b="0"/>
                  <wp:docPr id="7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DE587D" w:rsidRPr="00715429" w:rsidTr="002C4845">
        <w:trPr>
          <w:trHeight w:hRule="exact" w:val="6091"/>
        </w:trPr>
        <w:tc>
          <w:tcPr>
            <w:tcW w:w="6946" w:type="dxa"/>
            <w:tcBorders>
              <w:bottom w:val="thinThickSmallGap" w:sz="18" w:space="0" w:color="auto"/>
            </w:tcBorders>
          </w:tcPr>
          <w:p w:rsidR="00DE587D" w:rsidRPr="00354DDA" w:rsidRDefault="00DE587D" w:rsidP="008902D3">
            <w:pPr>
              <w:pStyle w:val="NormalWeb"/>
              <w:numPr>
                <w:ilvl w:val="0"/>
                <w:numId w:val="1"/>
              </w:numPr>
              <w:spacing w:before="0" w:beforeAutospacing="0" w:after="0"/>
              <w:ind w:left="357"/>
              <w:jc w:val="both"/>
              <w:rPr>
                <w:rFonts w:asciiTheme="minorHAnsi" w:hAnsiTheme="minorHAnsi" w:cs="Calibri"/>
                <w:b/>
                <w:bCs/>
                <w:noProof/>
                <w:color w:val="000000"/>
                <w:sz w:val="20"/>
                <w:szCs w:val="20"/>
              </w:rPr>
            </w:pPr>
            <w:r w:rsidRPr="000712B9">
              <w:rPr>
                <w:rFonts w:ascii="Calibri" w:hAnsi="Calibri" w:cs="Calibri"/>
                <w:b/>
                <w:bCs/>
                <w:noProof/>
                <w:color w:val="000000"/>
                <w:sz w:val="20"/>
                <w:szCs w:val="20"/>
                <w:lang w:val="hr-BA"/>
              </w:rPr>
              <w:t xml:space="preserve">Spoljnotrgovinska razmjena </w:t>
            </w:r>
          </w:p>
          <w:p w:rsidR="000712B9" w:rsidRDefault="00B74693" w:rsidP="004C2EA5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BD7F0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0712B9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Veći procentualni pad izvoza od uvoza uticao je na povećanje deficita </w:t>
            </w:r>
            <w:r w:rsidR="0089194A">
              <w:rPr>
                <w:rFonts w:asciiTheme="minorHAnsi" w:hAnsiTheme="minorHAnsi" w:cstheme="minorHAnsi"/>
                <w:b/>
                <w:sz w:val="20"/>
                <w:szCs w:val="18"/>
              </w:rPr>
              <w:t>robne razmjene za period januar–</w:t>
            </w:r>
            <w:r w:rsidRPr="000712B9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jul 2014. 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Spoljnotrgovinski deficit je povećan za 5,3% i iznosio je 834,6mil.€, usljed pada izvoza za 21,8% i uvoza 0,8%. Ukupna robna razmjena</w:t>
            </w:r>
            <w:r w:rsidRPr="000712B9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iznosila je 1.19</w:t>
            </w:r>
            <w:r w:rsidR="00A63DB2">
              <w:rPr>
                <w:rFonts w:asciiTheme="minorHAnsi" w:hAnsiTheme="minorHAnsi" w:cstheme="minorHAnsi"/>
                <w:sz w:val="20"/>
                <w:szCs w:val="18"/>
              </w:rPr>
              <w:t>1,3mil.€, što je za 4,6% manje g-n-g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. Ukupan izvoz je iznosio 178,3 mil.€, dok je uvoz vrijedio 1.012,9 mil.€. Pokrivenost uvoza izvozom </w:t>
            </w:r>
            <w:r w:rsidR="004C2EA5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630010">
              <w:rPr>
                <w:rFonts w:asciiTheme="minorHAnsi" w:hAnsiTheme="minorHAnsi" w:cstheme="minorHAnsi"/>
                <w:sz w:val="20"/>
                <w:szCs w:val="18"/>
              </w:rPr>
              <w:t xml:space="preserve">(17,6%) 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smanjena</w:t>
            </w:r>
            <w:r w:rsidR="00736C15">
              <w:rPr>
                <w:rFonts w:asciiTheme="minorHAnsi" w:hAnsiTheme="minorHAnsi" w:cstheme="minorHAnsi"/>
                <w:sz w:val="20"/>
                <w:szCs w:val="18"/>
              </w:rPr>
              <w:t xml:space="preserve"> je za </w:t>
            </w:r>
            <w:r w:rsidR="00B45BDC">
              <w:rPr>
                <w:rFonts w:asciiTheme="minorHAnsi" w:hAnsiTheme="minorHAnsi" w:cstheme="minorHAnsi"/>
                <w:sz w:val="20"/>
                <w:szCs w:val="18"/>
              </w:rPr>
              <w:t>4,7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p</w:t>
            </w:r>
            <w:r w:rsidR="00361C27">
              <w:rPr>
                <w:rFonts w:asciiTheme="minorHAnsi" w:hAnsiTheme="minorHAnsi" w:cstheme="minorHAnsi"/>
                <w:sz w:val="20"/>
                <w:szCs w:val="18"/>
              </w:rPr>
              <w:t>.p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.</w:t>
            </w:r>
            <w:r w:rsidR="00736C15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0712B9">
              <w:rPr>
                <w:rFonts w:asciiTheme="minorHAnsi" w:hAnsiTheme="minorHAnsi"/>
                <w:sz w:val="20"/>
                <w:szCs w:val="18"/>
              </w:rPr>
              <w:t xml:space="preserve">Smanjenju </w:t>
            </w:r>
            <w:r w:rsidRPr="000712B9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izvoza 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najviše je doprinio </w:t>
            </w:r>
            <w:r w:rsidR="0017563A">
              <w:rPr>
                <w:rFonts w:asciiTheme="minorHAnsi" w:hAnsiTheme="minorHAnsi" w:cstheme="minorHAnsi"/>
                <w:sz w:val="20"/>
                <w:szCs w:val="18"/>
              </w:rPr>
              <w:t>pad dominantnih kategorija u strukturi izvoza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, aluminijum</w:t>
            </w:r>
            <w:r w:rsidR="000712B9">
              <w:rPr>
                <w:rFonts w:asciiTheme="minorHAnsi" w:hAnsiTheme="minorHAnsi" w:cstheme="minorHAnsi"/>
                <w:sz w:val="20"/>
                <w:szCs w:val="18"/>
              </w:rPr>
              <w:t xml:space="preserve"> (19,5%) i električn</w:t>
            </w:r>
            <w:r w:rsidR="0017563A">
              <w:rPr>
                <w:rFonts w:asciiTheme="minorHAnsi" w:hAnsiTheme="minorHAnsi" w:cstheme="minorHAnsi"/>
                <w:sz w:val="20"/>
                <w:szCs w:val="18"/>
              </w:rPr>
              <w:t>a</w:t>
            </w:r>
            <w:r w:rsidR="000712B9">
              <w:rPr>
                <w:rFonts w:asciiTheme="minorHAnsi" w:hAnsiTheme="minorHAnsi" w:cstheme="minorHAnsi"/>
                <w:sz w:val="20"/>
                <w:szCs w:val="18"/>
              </w:rPr>
              <w:t xml:space="preserve"> energij</w:t>
            </w:r>
            <w:r w:rsidR="0017563A">
              <w:rPr>
                <w:rFonts w:asciiTheme="minorHAnsi" w:hAnsiTheme="minorHAnsi" w:cstheme="minorHAnsi"/>
                <w:sz w:val="20"/>
                <w:szCs w:val="18"/>
              </w:rPr>
              <w:t>a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 (64,0%). </w:t>
            </w:r>
            <w:r w:rsidR="000712B9">
              <w:rPr>
                <w:rFonts w:asciiTheme="minorHAnsi" w:hAnsiTheme="minorHAnsi" w:cstheme="minorHAnsi"/>
                <w:sz w:val="20"/>
                <w:szCs w:val="18"/>
              </w:rPr>
              <w:t>P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ozitivan uticaj na kretanje izvoza imala je kategorija hrana i žive životinje </w:t>
            </w:r>
            <w:r w:rsidR="0017563A">
              <w:rPr>
                <w:rFonts w:asciiTheme="minorHAnsi" w:hAnsiTheme="minorHAnsi" w:cstheme="minorHAnsi"/>
                <w:sz w:val="20"/>
                <w:szCs w:val="18"/>
              </w:rPr>
              <w:t xml:space="preserve">sa 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rast</w:t>
            </w:r>
            <w:r w:rsidR="0017563A">
              <w:rPr>
                <w:rFonts w:asciiTheme="minorHAnsi" w:hAnsiTheme="minorHAnsi" w:cstheme="minorHAnsi"/>
                <w:sz w:val="20"/>
                <w:szCs w:val="18"/>
              </w:rPr>
              <w:t>om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 od 107,0%. U </w:t>
            </w:r>
            <w:r w:rsidRPr="000712B9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uvozu 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dominiraju proizvodi sektora hrana i žive životinje (21,7%), mašine i transportna sredstva (19,0%) i proizvodi svrstani po materijalu (15,5%). Smanjenju </w:t>
            </w:r>
            <w:r w:rsidRPr="000712B9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uvoza 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najviše je doprinio</w:t>
            </w:r>
            <w:r w:rsidRPr="000712B9">
              <w:rPr>
                <w:rFonts w:asciiTheme="minorHAnsi" w:hAnsiTheme="minorHAnsi" w:cstheme="minorHAnsi"/>
                <w:b/>
                <w:sz w:val="20"/>
                <w:szCs w:val="18"/>
              </w:rPr>
              <w:t xml:space="preserve"> 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>pad uvoza kategorije ostala transportna sredstva za 85,0%, el</w:t>
            </w:r>
            <w:r w:rsidR="00B45BDC">
              <w:rPr>
                <w:rFonts w:asciiTheme="minorHAnsi" w:hAnsiTheme="minorHAnsi" w:cstheme="minorHAnsi"/>
                <w:sz w:val="20"/>
                <w:szCs w:val="18"/>
              </w:rPr>
              <w:t>.</w:t>
            </w:r>
            <w:r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 energij</w:t>
            </w:r>
            <w:r w:rsidR="00A478AD" w:rsidRPr="000712B9">
              <w:rPr>
                <w:rFonts w:asciiTheme="minorHAnsi" w:hAnsiTheme="minorHAnsi" w:cstheme="minorHAnsi"/>
                <w:sz w:val="20"/>
                <w:szCs w:val="18"/>
              </w:rPr>
              <w:t>a</w:t>
            </w:r>
            <w:r w:rsidR="00ED7615"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 18,0% i naft</w:t>
            </w:r>
            <w:r w:rsidR="00A478AD" w:rsidRPr="000712B9">
              <w:rPr>
                <w:rFonts w:asciiTheme="minorHAnsi" w:hAnsiTheme="minorHAnsi" w:cstheme="minorHAnsi"/>
                <w:sz w:val="20"/>
                <w:szCs w:val="18"/>
              </w:rPr>
              <w:t>a</w:t>
            </w:r>
            <w:r w:rsidR="00ED7615"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="00A478AD"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i naftni </w:t>
            </w:r>
            <w:r w:rsidR="00ED7615" w:rsidRPr="000712B9">
              <w:rPr>
                <w:rFonts w:asciiTheme="minorHAnsi" w:hAnsiTheme="minorHAnsi" w:cstheme="minorHAnsi"/>
                <w:sz w:val="20"/>
                <w:szCs w:val="18"/>
              </w:rPr>
              <w:t>derivat</w:t>
            </w:r>
            <w:r w:rsidR="00A478AD" w:rsidRPr="000712B9">
              <w:rPr>
                <w:rFonts w:asciiTheme="minorHAnsi" w:hAnsiTheme="minorHAnsi" w:cstheme="minorHAnsi"/>
                <w:sz w:val="20"/>
                <w:szCs w:val="18"/>
              </w:rPr>
              <w:t>i</w:t>
            </w:r>
            <w:r w:rsidR="00ED7615" w:rsidRPr="000712B9">
              <w:rPr>
                <w:rFonts w:asciiTheme="minorHAnsi" w:hAnsiTheme="minorHAnsi" w:cstheme="minorHAnsi"/>
                <w:sz w:val="20"/>
                <w:szCs w:val="18"/>
              </w:rPr>
              <w:t xml:space="preserve"> 4,0%. </w:t>
            </w:r>
          </w:p>
          <w:p w:rsidR="00DE587D" w:rsidRDefault="00B74693" w:rsidP="008902D3">
            <w:pPr>
              <w:spacing w:after="0" w:line="240" w:lineRule="auto"/>
              <w:jc w:val="both"/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</w:pPr>
            <w:r w:rsidRPr="008B6F1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 </w:t>
            </w:r>
            <w:r w:rsidR="00DE587D" w:rsidRPr="008B6F16">
              <w:rPr>
                <w:rFonts w:asciiTheme="minorHAnsi" w:hAnsiTheme="minorHAnsi"/>
                <w:b/>
                <w:bCs/>
                <w:noProof/>
                <w:sz w:val="20"/>
                <w:szCs w:val="20"/>
                <w:lang w:val="hr-BA"/>
              </w:rPr>
              <w:t>periodu januar-jun 2014.godine evidentan je trend rasta priliva SDI, koji je iznosio 163,7 mil.€, što je više za 5,5% u poređenju sa istim periodom predhodne godine (155,2 mil.€).</w:t>
            </w:r>
            <w:r w:rsidR="00DE587D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 xml:space="preserve"> </w:t>
            </w:r>
            <w:r w:rsidR="000712B9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>N</w:t>
            </w:r>
            <w:r w:rsidR="00DE587D" w:rsidRPr="006E11E0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>ajznačajniji rast u</w:t>
            </w:r>
            <w:r w:rsidR="0023090D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 xml:space="preserve">kupnog priliva kao i neto SDI, </w:t>
            </w:r>
            <w:r w:rsidR="000712B9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>ostvaren je u junu i iznosio je</w:t>
            </w:r>
            <w:r w:rsidR="00DE587D" w:rsidRPr="006E11E0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 xml:space="preserve"> 50,3 mil.€ i 39,7 mil.€</w:t>
            </w:r>
            <w:r w:rsidR="00DE587D" w:rsidRPr="006E11E0">
              <w:rPr>
                <w:rFonts w:asciiTheme="minorHAnsi" w:hAnsiTheme="minorHAnsi"/>
                <w:bCs/>
                <w:noProof/>
                <w:lang w:val="hr-BA"/>
              </w:rPr>
              <w:t>.</w:t>
            </w:r>
            <w:r w:rsidR="00DE587D">
              <w:rPr>
                <w:rFonts w:asciiTheme="minorHAnsi" w:hAnsiTheme="minorHAnsi"/>
                <w:bCs/>
                <w:noProof/>
                <w:lang w:val="hr-BA"/>
              </w:rPr>
              <w:t xml:space="preserve"> </w:t>
            </w:r>
            <w:r w:rsidR="00DE587D" w:rsidRPr="00354DDA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>Ukupan priliv SDI iznosio je 217,1 mil.€, sa učešćem vlasničkih ulaganja od 44,9% ili 3,4% više nego u 2013. Struktura: investicije u preduzeć</w:t>
            </w:r>
            <w:r w:rsidR="00DE587D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>a i banke 11,4%, što je za oko 2</w:t>
            </w:r>
            <w:r w:rsidR="000C7278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>,5</w:t>
            </w:r>
            <w:r w:rsidR="00F01A24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 xml:space="preserve"> puta više nego u 2013,</w:t>
            </w:r>
            <w:r w:rsidR="00DE587D" w:rsidRPr="00354DDA">
              <w:rPr>
                <w:rFonts w:asciiTheme="minorHAnsi" w:hAnsiTheme="minorHAnsi"/>
                <w:bCs/>
                <w:noProof/>
                <w:sz w:val="20"/>
                <w:szCs w:val="20"/>
                <w:lang w:val="hr-BA"/>
              </w:rPr>
              <w:t xml:space="preserve"> investicije u nekretnine 33,5% (16,8% manje), interkompanijski dug 53,4% (17,8% više) i ostalo 1,7% (47,8% manje). Ukupan odliv SDI iznosio je 53,4 mil.€ što je za 19,4% više nego u 2013.(44,7 mil.€). U strukturi odliva najveći dio se odnosio na povlačenje sredstava nerezidenata 87,8%, dok su ulaganja rezidenata u inostranstvo 12,2 %.</w:t>
            </w:r>
          </w:p>
          <w:p w:rsidR="00DE587D" w:rsidRPr="00354DDA" w:rsidRDefault="00B74693" w:rsidP="000712B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hr-BA"/>
              </w:rPr>
            </w:pPr>
            <w:r w:rsidRPr="00BD7F0E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3794" w:type="dxa"/>
            <w:gridSpan w:val="2"/>
            <w:tcBorders>
              <w:bottom w:val="thinThickSmallGap" w:sz="18" w:space="0" w:color="auto"/>
            </w:tcBorders>
            <w:vAlign w:val="center"/>
          </w:tcPr>
          <w:p w:rsidR="00DE587D" w:rsidRPr="00715429" w:rsidRDefault="00A23A9A" w:rsidP="00DE587D">
            <w:pPr>
              <w:jc w:val="center"/>
              <w:rPr>
                <w:noProof/>
                <w:sz w:val="17"/>
                <w:szCs w:val="17"/>
                <w:lang w:val="hr-BA" w:eastAsia="sr-Latn-CS"/>
              </w:rPr>
            </w:pPr>
            <w:r w:rsidRPr="00A23A9A">
              <w:rPr>
                <w:noProof/>
                <w:sz w:val="17"/>
                <w:szCs w:val="17"/>
              </w:rPr>
              <w:drawing>
                <wp:inline distT="0" distB="0" distL="0" distR="0">
                  <wp:extent cx="2187976" cy="2348564"/>
                  <wp:effectExtent l="0" t="0" r="0" b="0"/>
                  <wp:docPr id="4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82570B" w:rsidRPr="004A3489" w:rsidRDefault="0082570B" w:rsidP="00D51C00">
      <w:pPr>
        <w:rPr>
          <w:rFonts w:asciiTheme="minorHAnsi" w:hAnsiTheme="minorHAnsi" w:cstheme="minorHAnsi"/>
          <w:sz w:val="20"/>
          <w:szCs w:val="20"/>
        </w:rPr>
        <w:sectPr w:rsidR="0082570B" w:rsidRPr="004A3489" w:rsidSect="009C5011">
          <w:pgSz w:w="11907" w:h="16839" w:code="9"/>
          <w:pgMar w:top="720" w:right="720" w:bottom="709" w:left="720" w:header="720" w:footer="720" w:gutter="0"/>
          <w:cols w:space="720"/>
          <w:rtlGutter/>
          <w:docGrid w:linePitch="360"/>
        </w:sectPr>
      </w:pPr>
    </w:p>
    <w:p w:rsidR="002A1639" w:rsidRPr="00715429" w:rsidRDefault="0082570B" w:rsidP="00332574">
      <w:pPr>
        <w:jc w:val="center"/>
        <w:outlineLvl w:val="0"/>
        <w:rPr>
          <w:noProof/>
          <w:sz w:val="17"/>
          <w:szCs w:val="16"/>
          <w:lang w:val="hr-BA"/>
        </w:rPr>
      </w:pPr>
      <w:r w:rsidRPr="00715429">
        <w:rPr>
          <w:noProof/>
          <w:sz w:val="17"/>
          <w:szCs w:val="16"/>
          <w:lang w:val="hr-BA"/>
        </w:rPr>
        <w:t xml:space="preserve">Tabela 1: </w:t>
      </w:r>
      <w:r w:rsidRPr="00715429">
        <w:rPr>
          <w:b/>
          <w:bCs/>
          <w:noProof/>
          <w:sz w:val="17"/>
          <w:szCs w:val="16"/>
          <w:lang w:val="hr-BA"/>
        </w:rPr>
        <w:t>MAKROEKONOMSKI INDIKATORI</w:t>
      </w:r>
      <w:r w:rsidRPr="00715429">
        <w:rPr>
          <w:noProof/>
          <w:sz w:val="17"/>
          <w:szCs w:val="16"/>
          <w:lang w:val="hr-BA"/>
        </w:rPr>
        <w:t xml:space="preserve"> – </w:t>
      </w:r>
      <w:r w:rsidR="003A6F63">
        <w:rPr>
          <w:noProof/>
          <w:sz w:val="17"/>
          <w:szCs w:val="16"/>
          <w:lang w:val="hr-BA"/>
        </w:rPr>
        <w:t>jul</w:t>
      </w:r>
      <w:r w:rsidR="00725E16">
        <w:rPr>
          <w:noProof/>
          <w:sz w:val="17"/>
          <w:szCs w:val="16"/>
          <w:lang w:val="hr-BA"/>
        </w:rPr>
        <w:t xml:space="preserve"> </w:t>
      </w:r>
      <w:r w:rsidRPr="00715429">
        <w:rPr>
          <w:noProof/>
          <w:sz w:val="17"/>
          <w:szCs w:val="16"/>
          <w:lang w:val="hr-BA"/>
        </w:rPr>
        <w:t>201</w:t>
      </w:r>
      <w:r w:rsidR="00B355D6" w:rsidRPr="00715429">
        <w:rPr>
          <w:noProof/>
          <w:sz w:val="17"/>
          <w:szCs w:val="16"/>
          <w:lang w:val="hr-BA"/>
        </w:rPr>
        <w:t>4</w:t>
      </w:r>
      <w:r w:rsidRPr="00715429">
        <w:rPr>
          <w:noProof/>
          <w:sz w:val="17"/>
          <w:szCs w:val="16"/>
          <w:lang w:val="hr-BA"/>
        </w:rPr>
        <w:t>.</w:t>
      </w:r>
      <w:bookmarkStart w:id="0" w:name="_GoBack"/>
      <w:bookmarkEnd w:id="0"/>
    </w:p>
    <w:p w:rsidR="0082570B" w:rsidRPr="00715429" w:rsidRDefault="0082570B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784DAE" w:rsidRPr="00715429" w:rsidRDefault="00784DAE" w:rsidP="00875C4F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332574" w:rsidRPr="00715429" w:rsidRDefault="00332574" w:rsidP="00332574">
      <w:pPr>
        <w:spacing w:after="0" w:line="240" w:lineRule="auto"/>
        <w:outlineLvl w:val="0"/>
        <w:rPr>
          <w:b/>
          <w:i/>
          <w:noProof/>
          <w:sz w:val="16"/>
          <w:szCs w:val="16"/>
          <w:lang w:val="hr-BA"/>
        </w:rPr>
      </w:pPr>
      <w:r w:rsidRPr="00715429">
        <w:rPr>
          <w:b/>
          <w:i/>
          <w:noProof/>
          <w:sz w:val="16"/>
          <w:szCs w:val="16"/>
          <w:lang w:val="hr-BA"/>
        </w:rPr>
        <w:t>Izvor: MONSTAT, Centralna Banka, Zavod za zapošljavanje Crne Gore</w:t>
      </w:r>
    </w:p>
    <w:p w:rsidR="00332574" w:rsidRPr="00715429" w:rsidRDefault="00332574" w:rsidP="00332574">
      <w:pPr>
        <w:spacing w:after="0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Svi indikatori su prikazani kao godišnje stope rasta (stopa promjene indikatora u posmatranom mjesecu u odnosu na isti mjesec prethodne godine u %) ukoliko nije drugačije naznačeno u nazivu</w:t>
      </w:r>
    </w:p>
    <w:p w:rsidR="0083011C" w:rsidRDefault="00332574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  <w:r w:rsidRPr="00715429">
        <w:rPr>
          <w:i/>
          <w:iCs/>
          <w:noProof/>
          <w:sz w:val="12"/>
          <w:szCs w:val="12"/>
          <w:lang w:val="hr-BA"/>
        </w:rPr>
        <w:t>M-n-M označava mjesečnu promjenu (stopa promjene indikatora u posmatranom mjesecu u odnosu na prethodni mjesec u %)</w:t>
      </w:r>
      <w:r w:rsidR="00B012FF">
        <w:rPr>
          <w:i/>
          <w:iCs/>
          <w:noProof/>
          <w:sz w:val="12"/>
          <w:szCs w:val="12"/>
          <w:lang w:val="hr-BA"/>
        </w:rPr>
        <w:t xml:space="preserve"> </w:t>
      </w:r>
      <w:r w:rsidR="00E2362B">
        <w:rPr>
          <w:i/>
          <w:iCs/>
          <w:noProof/>
          <w:sz w:val="12"/>
          <w:szCs w:val="12"/>
          <w:lang w:val="hr-BA"/>
        </w:rPr>
        <w:t>g-n-g</w:t>
      </w:r>
      <w:r w:rsidR="00E2362B" w:rsidRPr="00715429">
        <w:rPr>
          <w:i/>
          <w:iCs/>
          <w:noProof/>
          <w:sz w:val="12"/>
          <w:szCs w:val="12"/>
          <w:lang w:val="hr-BA"/>
        </w:rPr>
        <w:t xml:space="preserve"> označava </w:t>
      </w:r>
      <w:r w:rsidR="00E2362B">
        <w:rPr>
          <w:i/>
          <w:iCs/>
          <w:noProof/>
          <w:sz w:val="12"/>
          <w:szCs w:val="12"/>
          <w:lang w:val="hr-BA"/>
        </w:rPr>
        <w:t>godišnju</w:t>
      </w:r>
      <w:r w:rsidR="00E2362B" w:rsidRPr="00715429">
        <w:rPr>
          <w:i/>
          <w:iCs/>
          <w:noProof/>
          <w:sz w:val="12"/>
          <w:szCs w:val="12"/>
          <w:lang w:val="hr-BA"/>
        </w:rPr>
        <w:t xml:space="preserve"> promjenu (stopa promjene indikatora u posmatranom mjesecu</w:t>
      </w:r>
      <w:r w:rsidR="00E2362B">
        <w:rPr>
          <w:i/>
          <w:iCs/>
          <w:noProof/>
          <w:sz w:val="12"/>
          <w:szCs w:val="12"/>
          <w:lang w:val="hr-BA"/>
        </w:rPr>
        <w:t xml:space="preserve">ili periodu </w:t>
      </w:r>
      <w:r w:rsidR="00E2362B" w:rsidRPr="00715429">
        <w:rPr>
          <w:i/>
          <w:iCs/>
          <w:noProof/>
          <w:sz w:val="12"/>
          <w:szCs w:val="12"/>
          <w:lang w:val="hr-BA"/>
        </w:rPr>
        <w:t xml:space="preserve"> u odnosu na </w:t>
      </w:r>
      <w:r w:rsidR="00E2362B">
        <w:rPr>
          <w:i/>
          <w:iCs/>
          <w:noProof/>
          <w:sz w:val="12"/>
          <w:szCs w:val="12"/>
          <w:lang w:val="hr-BA"/>
        </w:rPr>
        <w:t>isti mmjesec ili periodprethodne godine</w:t>
      </w:r>
      <w:r w:rsidR="00E2362B" w:rsidRPr="00715429">
        <w:rPr>
          <w:i/>
          <w:iCs/>
          <w:noProof/>
          <w:sz w:val="12"/>
          <w:szCs w:val="12"/>
          <w:lang w:val="hr-BA"/>
        </w:rPr>
        <w:t xml:space="preserve"> u %)</w:t>
      </w:r>
    </w:p>
    <w:p w:rsidR="0083011C" w:rsidRDefault="0083011C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413FFD" w:rsidRDefault="00413FFD" w:rsidP="00413FFD">
      <w:pPr>
        <w:pStyle w:val="Caption"/>
        <w:keepNext/>
      </w:pPr>
      <w:r>
        <w:t xml:space="preserve">Tabela </w:t>
      </w:r>
      <w:fldSimple w:instr=" SEQ Tabela \* ARABIC ">
        <w:r w:rsidR="0085098F">
          <w:rPr>
            <w:noProof/>
          </w:rPr>
          <w:t>1</w:t>
        </w:r>
      </w:fldSimple>
    </w:p>
    <w:tbl>
      <w:tblPr>
        <w:tblW w:w="16160" w:type="dxa"/>
        <w:tblCellMar>
          <w:left w:w="0" w:type="dxa"/>
          <w:right w:w="0" w:type="dxa"/>
        </w:tblCellMar>
        <w:tblLook w:val="04A0"/>
      </w:tblPr>
      <w:tblGrid>
        <w:gridCol w:w="4680"/>
        <w:gridCol w:w="620"/>
        <w:gridCol w:w="620"/>
        <w:gridCol w:w="620"/>
        <w:gridCol w:w="640"/>
        <w:gridCol w:w="860"/>
        <w:gridCol w:w="680"/>
        <w:gridCol w:w="720"/>
        <w:gridCol w:w="680"/>
        <w:gridCol w:w="680"/>
        <w:gridCol w:w="680"/>
        <w:gridCol w:w="680"/>
        <w:gridCol w:w="680"/>
        <w:gridCol w:w="680"/>
        <w:gridCol w:w="860"/>
        <w:gridCol w:w="800"/>
        <w:gridCol w:w="980"/>
      </w:tblGrid>
      <w:tr w:rsidR="00413FFD" w:rsidRPr="00413FFD" w:rsidTr="00413FFD">
        <w:trPr>
          <w:divId w:val="535197218"/>
          <w:trHeight w:val="420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2014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jul '14 / jul '13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jan - jul '14 / jan - jul '13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-20,60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-23,40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-26,40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-16,3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-15,5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-24,6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2,7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3,8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27,9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30,3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178.815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176.588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169.044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169.044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167.607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167.173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167.616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168.805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170.177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172.202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174.917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179.774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30.102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30.947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33.271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33.271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34.680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34.514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34.804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34.664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34.671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33.906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32.763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31.570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5,2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17,8</w:t>
            </w:r>
          </w:p>
        </w:tc>
        <w:tc>
          <w:tcPr>
            <w:tcW w:w="2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19,5</w:t>
            </w:r>
          </w:p>
        </w:tc>
        <w:tc>
          <w:tcPr>
            <w:tcW w:w="2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1.495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3.077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5.399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4.984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6.311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323,9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179,6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-0,4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-0,8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2.505,8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2.538,3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2.474,5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2.474,5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2.463,9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2.411,9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2.407,9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2.415,0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2.405,0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2.386,6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2.383,1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2.376,2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-3,7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-3,8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-3,3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447,0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441,9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438,6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438,6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428,3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423,2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425,6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426,3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393,9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406,1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417,6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402,6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2.075,0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2.144,3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2.084,9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2.098,6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2.096,7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2.101,7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2.104,3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2.094,8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2.114,3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2.146,4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970,2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947,6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951,1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951,1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955,2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948,4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942,6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951,6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947,7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958,5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959,8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950,4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-3,9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880,6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886,8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881,3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887,4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890,7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891,5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576,2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612,3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572,8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572,8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553,9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554,8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554,0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549,6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542,8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533,0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551,7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576,4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1.192,9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1.218,1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1.218,1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1.218,1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1.221,0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1.237,7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1.235,1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1.236,4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1.239,2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1.247,8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1.245,5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1.244,5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9,38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2,93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2,83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2,67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2,67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2,60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2,55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-0,85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31,8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28,4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31,2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24,7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28,3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31,7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12,2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-21,8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172,6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164,9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161,4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161,4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130,7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149,0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83,1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112,7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145,9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158,2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157,6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183,9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7,7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6,5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-0,9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-140,8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-136,5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-136,9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-136,9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-99,6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-114,5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-60,5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-90,5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-121,2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-135,1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-132,0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-142,4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-152,1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6,8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8,0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5,2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32,5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30,7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-19,8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12,6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55,5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32,1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17,1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29,0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5,5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115,7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105,9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105,9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111,5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107,8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109,7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109,6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112,5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-6,1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1,7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1.769,6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1.816,2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1.814,6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1.814,6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1.748,0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1.739,8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1.740,8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1.695,2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1.705,4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1.810,7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1.751,1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1.839,0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5,9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10,1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-5,9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-0,04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0,01</w:t>
            </w:r>
          </w:p>
        </w:tc>
      </w:tr>
      <w:tr w:rsidR="00413FFD" w:rsidRPr="00413FFD" w:rsidTr="00413FFD">
        <w:trPr>
          <w:divId w:val="535197218"/>
          <w:trHeight w:hRule="exact" w:val="215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</w:pPr>
            <w:r w:rsidRPr="00413FFD">
              <w:rPr>
                <w:rFonts w:cs="Calibri"/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1,5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right w:w="57" w:type="dxa"/>
            </w:tcMar>
            <w:vAlign w:val="center"/>
            <w:hideMark/>
          </w:tcPr>
          <w:p w:rsidR="00413FFD" w:rsidRPr="00413FFD" w:rsidRDefault="00413FFD" w:rsidP="00413FFD">
            <w:pPr>
              <w:spacing w:after="0" w:line="240" w:lineRule="auto"/>
              <w:jc w:val="right"/>
              <w:rPr>
                <w:rFonts w:cs="Calibri"/>
                <w:sz w:val="14"/>
                <w:szCs w:val="14"/>
                <w:lang w:val="sr-Latn-CS" w:eastAsia="sr-Latn-CS"/>
              </w:rPr>
            </w:pPr>
            <w:r w:rsidRPr="00413FFD">
              <w:rPr>
                <w:rFonts w:cs="Calibri"/>
                <w:sz w:val="14"/>
                <w:szCs w:val="14"/>
                <w:lang w:val="sr-Latn-CS" w:eastAsia="sr-Latn-CS"/>
              </w:rPr>
              <w:t>-1,0</w:t>
            </w:r>
          </w:p>
        </w:tc>
      </w:tr>
    </w:tbl>
    <w:p w:rsidR="0083011C" w:rsidRDefault="0083011C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83011C" w:rsidRDefault="0083011C" w:rsidP="00332574">
      <w:pPr>
        <w:spacing w:after="0" w:line="240" w:lineRule="auto"/>
        <w:ind w:firstLine="142"/>
        <w:rPr>
          <w:i/>
          <w:iCs/>
          <w:noProof/>
          <w:sz w:val="12"/>
          <w:szCs w:val="12"/>
          <w:lang w:val="hr-BA"/>
        </w:rPr>
      </w:pPr>
    </w:p>
    <w:p w:rsidR="00CD707C" w:rsidRPr="0065398C" w:rsidRDefault="00A30E95" w:rsidP="00784DAE">
      <w:pPr>
        <w:spacing w:after="0" w:line="240" w:lineRule="auto"/>
        <w:ind w:firstLine="142"/>
        <w:jc w:val="center"/>
        <w:rPr>
          <w:noProof/>
          <w:sz w:val="18"/>
          <w:szCs w:val="18"/>
          <w:lang w:val="hr-BA"/>
        </w:rPr>
      </w:pPr>
      <w:r w:rsidRPr="0065398C">
        <w:rPr>
          <w:noProof/>
          <w:sz w:val="18"/>
          <w:szCs w:val="18"/>
          <w:lang w:val="hr-BA"/>
        </w:rPr>
        <w:t>T</w:t>
      </w:r>
      <w:r w:rsidR="00784DAE" w:rsidRPr="0065398C">
        <w:rPr>
          <w:noProof/>
          <w:sz w:val="18"/>
          <w:szCs w:val="18"/>
          <w:lang w:val="hr-BA"/>
        </w:rPr>
        <w:t xml:space="preserve">abela 2: </w:t>
      </w:r>
      <w:r w:rsidR="00784DAE" w:rsidRPr="0065398C">
        <w:rPr>
          <w:b/>
          <w:bCs/>
          <w:noProof/>
          <w:sz w:val="18"/>
          <w:szCs w:val="18"/>
          <w:lang w:val="hr-BA"/>
        </w:rPr>
        <w:t>BUDŽET CRNE GORE</w:t>
      </w:r>
      <w:r w:rsidR="00784DAE" w:rsidRPr="0065398C">
        <w:rPr>
          <w:noProof/>
          <w:sz w:val="18"/>
          <w:szCs w:val="18"/>
          <w:lang w:val="hr-BA"/>
        </w:rPr>
        <w:t xml:space="preserve"> –</w:t>
      </w:r>
      <w:r w:rsidR="003A6F63">
        <w:rPr>
          <w:noProof/>
          <w:sz w:val="18"/>
          <w:szCs w:val="18"/>
          <w:lang w:val="hr-BA"/>
        </w:rPr>
        <w:t xml:space="preserve"> jul</w:t>
      </w:r>
      <w:r w:rsidR="009C5011" w:rsidRPr="0065398C">
        <w:rPr>
          <w:noProof/>
          <w:sz w:val="18"/>
          <w:szCs w:val="18"/>
          <w:lang w:val="hr-BA"/>
        </w:rPr>
        <w:t xml:space="preserve"> 2014</w:t>
      </w:r>
    </w:p>
    <w:tbl>
      <w:tblPr>
        <w:tblW w:w="0" w:type="auto"/>
        <w:tblInd w:w="103" w:type="dxa"/>
        <w:tblLook w:val="04A0"/>
      </w:tblPr>
      <w:tblGrid>
        <w:gridCol w:w="2634"/>
        <w:gridCol w:w="607"/>
        <w:gridCol w:w="677"/>
        <w:gridCol w:w="677"/>
        <w:gridCol w:w="677"/>
        <w:gridCol w:w="677"/>
        <w:gridCol w:w="677"/>
        <w:gridCol w:w="678"/>
        <w:gridCol w:w="678"/>
        <w:gridCol w:w="678"/>
        <w:gridCol w:w="678"/>
        <w:gridCol w:w="678"/>
        <w:gridCol w:w="678"/>
        <w:gridCol w:w="607"/>
        <w:gridCol w:w="867"/>
        <w:gridCol w:w="933"/>
        <w:gridCol w:w="1168"/>
        <w:gridCol w:w="1134"/>
      </w:tblGrid>
      <w:tr w:rsidR="00533C4D" w:rsidRPr="00533C4D" w:rsidTr="00533C4D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 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533C4D">
              <w:rPr>
                <w:rFonts w:cs="Calibri"/>
                <w:b/>
                <w:sz w:val="16"/>
                <w:szCs w:val="16"/>
              </w:rPr>
              <w:t>2013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533C4D">
              <w:rPr>
                <w:rFonts w:cs="Calibri"/>
                <w:b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533C4D">
              <w:rPr>
                <w:rFonts w:cs="Calibri"/>
                <w:b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533C4D">
              <w:rPr>
                <w:rFonts w:cs="Calibri"/>
                <w:b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533C4D">
              <w:rPr>
                <w:rFonts w:cs="Calibri"/>
                <w:b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533C4D">
              <w:rPr>
                <w:rFonts w:cs="Calibri"/>
                <w:b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CC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533C4D">
              <w:rPr>
                <w:rFonts w:cs="Calibri"/>
                <w:b/>
                <w:sz w:val="16"/>
                <w:szCs w:val="16"/>
              </w:rPr>
              <w:t>plan 2014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sz w:val="16"/>
                <w:szCs w:val="16"/>
              </w:rPr>
            </w:pPr>
            <w:r w:rsidRPr="00533C4D">
              <w:rPr>
                <w:rFonts w:cs="Calibri"/>
                <w:b/>
                <w:sz w:val="16"/>
                <w:szCs w:val="16"/>
              </w:rPr>
              <w:t>Analitika-JU</w:t>
            </w:r>
            <w:r w:rsidR="00340909">
              <w:rPr>
                <w:rFonts w:cs="Calibri"/>
                <w:b/>
                <w:sz w:val="16"/>
                <w:szCs w:val="16"/>
              </w:rPr>
              <w:t>L</w:t>
            </w:r>
          </w:p>
        </w:tc>
      </w:tr>
      <w:tr w:rsidR="00533C4D" w:rsidRPr="00533C4D" w:rsidTr="00533C4D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533C4D">
              <w:rPr>
                <w:rFonts w:cs="Calibri"/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VIII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IX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XI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XII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III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IV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V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VI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VII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VII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jul 2014/jul 2013 (%)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jan-jul 2014/jan-jul 2013 (%)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jul 2014/jul 2014 plan (%)</w:t>
            </w:r>
          </w:p>
        </w:tc>
      </w:tr>
      <w:tr w:rsidR="00533C4D" w:rsidRPr="00533C4D" w:rsidTr="00533C4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533C4D">
              <w:rPr>
                <w:rFonts w:cs="Calibri"/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122,52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125,05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116,34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117,28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95,78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142,43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70,78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82,13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100,71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109,08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102,20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109,85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120,66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sz w:val="14"/>
                <w:szCs w:val="14"/>
              </w:rPr>
              <w:t>123,94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-1,52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8,54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-2,65</w:t>
            </w:r>
          </w:p>
        </w:tc>
      </w:tr>
      <w:tr w:rsidR="00533C4D" w:rsidRPr="00533C4D" w:rsidTr="00533C4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Porezi i doprinosi na  zarade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54,03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37,52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75,77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40,59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2,47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13,72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2,56</w:t>
            </w:r>
          </w:p>
        </w:tc>
      </w:tr>
      <w:tr w:rsidR="00533C4D" w:rsidRPr="00533C4D" w:rsidTr="00533C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Porez na dobit pravnih lica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1,13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4,22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52,98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14,69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40,03</w:t>
            </w:r>
          </w:p>
        </w:tc>
      </w:tr>
      <w:tr w:rsidR="00533C4D" w:rsidRPr="00533C4D" w:rsidTr="00533C4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Porez na dodatu vrijednost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47,07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40,69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37,65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33,51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31,16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48,61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-3,33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9,97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-6,16</w:t>
            </w:r>
          </w:p>
        </w:tc>
      </w:tr>
      <w:tr w:rsidR="00533C4D" w:rsidRPr="00533C4D" w:rsidTr="00533C4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Akcize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16,43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17,25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13,08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14,55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15,75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16,79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-4,09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-6,16</w:t>
            </w:r>
          </w:p>
        </w:tc>
      </w:tr>
      <w:tr w:rsidR="00533C4D" w:rsidRPr="00533C4D" w:rsidTr="00533C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Porez na medj trgovinu i transak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2,63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4,86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-1,61</w:t>
            </w:r>
          </w:p>
        </w:tc>
      </w:tr>
      <w:tr w:rsidR="00533C4D" w:rsidRPr="00533C4D" w:rsidTr="00533C4D">
        <w:trPr>
          <w:trHeight w:val="330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533C4D">
              <w:rPr>
                <w:rFonts w:cs="Calibri"/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160,33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141,28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99,42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98,49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150,13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94,32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88,93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115,88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122,33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101,78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115,45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101,54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111,47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-36,67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-8,91</w:t>
            </w:r>
          </w:p>
        </w:tc>
      </w:tr>
      <w:tr w:rsidR="00533C4D" w:rsidRPr="00533C4D" w:rsidTr="00533C4D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Bruto zarade i doprinosi na teret posl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30,67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38,84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32,21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4,55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6,77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-1,77</w:t>
            </w:r>
          </w:p>
        </w:tc>
      </w:tr>
      <w:tr w:rsidR="00533C4D" w:rsidRPr="00533C4D" w:rsidTr="00533C4D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Rashodi za materijal i usluge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6,48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5,14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7,52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7,43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5,24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3,64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1,11</w:t>
            </w:r>
          </w:p>
        </w:tc>
      </w:tr>
      <w:tr w:rsidR="00533C4D" w:rsidRPr="00533C4D" w:rsidTr="00533C4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Kamate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0,75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24,66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5,61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6,11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11,71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14,31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4,94</w:t>
            </w:r>
          </w:p>
        </w:tc>
      </w:tr>
      <w:tr w:rsidR="00533C4D" w:rsidRPr="00533C4D" w:rsidTr="00533C4D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Transferi za socijalnu zaštitu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39,83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41,52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6,45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1,99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2,00</w:t>
            </w:r>
          </w:p>
        </w:tc>
      </w:tr>
      <w:tr w:rsidR="00533C4D" w:rsidRPr="00533C4D" w:rsidTr="00533C4D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Transferi instit, pojed i NVO sektoru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5,86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4,75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11,94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8,42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25,30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12,81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-12,78</w:t>
            </w:r>
          </w:p>
        </w:tc>
      </w:tr>
      <w:tr w:rsidR="00533C4D" w:rsidRPr="00533C4D" w:rsidTr="00533C4D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Kapitalni izdaci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6,49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22,14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9,36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29,78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19,82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-31,67</w:t>
            </w:r>
          </w:p>
        </w:tc>
      </w:tr>
      <w:tr w:rsidR="00533C4D" w:rsidRPr="00533C4D" w:rsidTr="00533C4D">
        <w:trPr>
          <w:trHeight w:val="330"/>
        </w:trPr>
        <w:tc>
          <w:tcPr>
            <w:tcW w:w="0" w:type="auto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533C4D">
              <w:rPr>
                <w:rFonts w:cs="Calibri"/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-37,82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-16,22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-2,66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17,86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-2,71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-23,54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-15,17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-13,25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19,12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12,47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-150,55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-60,82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53,28</w:t>
            </w:r>
          </w:p>
        </w:tc>
      </w:tr>
      <w:tr w:rsidR="00533C4D" w:rsidRPr="00533C4D" w:rsidTr="00533C4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Primarni deficit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-32,08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-14,12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-1,96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-21,23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-10,55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18,58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-179,58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-101,10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37,38</w:t>
            </w:r>
          </w:p>
        </w:tc>
      </w:tr>
      <w:tr w:rsidR="00533C4D" w:rsidRPr="00533C4D" w:rsidTr="00533C4D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Otplata dugova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34,60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24,39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17,57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71,64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38,71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60,61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14,29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21,97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76,57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195,45</w:t>
            </w:r>
          </w:p>
        </w:tc>
      </w:tr>
      <w:tr w:rsidR="00533C4D" w:rsidRPr="00533C4D" w:rsidTr="00533C4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  <w:r w:rsidRPr="00533C4D">
              <w:rPr>
                <w:rFonts w:cs="Calibri"/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1810,4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1844,90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1846,50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1832,00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1886,30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1873,15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1950,10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1950,70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2005,80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1990,30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2080,07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2022,06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  <w:tr w:rsidR="00533C4D" w:rsidRPr="00533C4D" w:rsidTr="00533C4D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Domaći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442,8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433,80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480,90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471,70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440,40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440,13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517,60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513,40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572,40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588,10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481,75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438,25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  <w:tr w:rsidR="00533C4D" w:rsidRPr="00533C4D" w:rsidTr="00533C4D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533C4D">
              <w:rPr>
                <w:rFonts w:cs="Calibri"/>
                <w:sz w:val="16"/>
                <w:szCs w:val="16"/>
              </w:rPr>
              <w:t>Inostrani dug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1367,6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1411,10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1365,60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1360,30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1445,90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color w:val="000000"/>
                <w:sz w:val="14"/>
                <w:szCs w:val="14"/>
              </w:rPr>
              <w:t>1433,02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1432,50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1437,30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1433,40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1402,20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1598,32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1583,81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sz w:val="14"/>
                <w:szCs w:val="14"/>
              </w:rPr>
            </w:pPr>
            <w:r w:rsidRPr="00533C4D">
              <w:rPr>
                <w:rFonts w:cs="Calibri"/>
                <w:sz w:val="14"/>
                <w:szCs w:val="14"/>
              </w:rPr>
              <w:t>-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33C4D" w:rsidRPr="00533C4D" w:rsidRDefault="00533C4D" w:rsidP="00533C4D">
            <w:pPr>
              <w:spacing w:after="0" w:line="240" w:lineRule="auto"/>
              <w:jc w:val="center"/>
              <w:rPr>
                <w:rFonts w:cs="Calibri"/>
                <w:i/>
                <w:iCs/>
                <w:color w:val="000000"/>
                <w:sz w:val="14"/>
                <w:szCs w:val="14"/>
              </w:rPr>
            </w:pPr>
            <w:r w:rsidRPr="00533C4D">
              <w:rPr>
                <w:rFonts w:cs="Calibri"/>
                <w:i/>
                <w:iCs/>
                <w:color w:val="000000"/>
                <w:sz w:val="14"/>
                <w:szCs w:val="14"/>
              </w:rPr>
              <w:t>-</w:t>
            </w:r>
          </w:p>
        </w:tc>
      </w:tr>
    </w:tbl>
    <w:p w:rsidR="00CD707C" w:rsidRPr="00715429" w:rsidRDefault="00CD707C" w:rsidP="00784DAE">
      <w:pPr>
        <w:spacing w:after="0" w:line="240" w:lineRule="auto"/>
        <w:ind w:firstLine="142"/>
        <w:jc w:val="center"/>
        <w:rPr>
          <w:i/>
          <w:iCs/>
          <w:noProof/>
          <w:sz w:val="12"/>
          <w:szCs w:val="12"/>
          <w:lang w:val="hr-BA"/>
        </w:rPr>
      </w:pPr>
    </w:p>
    <w:p w:rsidR="00332574" w:rsidRPr="0065398C" w:rsidRDefault="00332574" w:rsidP="00332574">
      <w:pPr>
        <w:outlineLvl w:val="0"/>
        <w:rPr>
          <w:b/>
          <w:i/>
          <w:noProof/>
          <w:sz w:val="18"/>
          <w:szCs w:val="18"/>
          <w:lang w:val="hr-BA"/>
        </w:rPr>
      </w:pPr>
      <w:r w:rsidRPr="0065398C">
        <w:rPr>
          <w:b/>
          <w:i/>
          <w:noProof/>
          <w:sz w:val="18"/>
          <w:szCs w:val="18"/>
          <w:lang w:val="hr-BA"/>
        </w:rPr>
        <w:t>Izvor: Ministarstvo finansija Crne Gore</w:t>
      </w:r>
    </w:p>
    <w:p w:rsidR="00A30E95" w:rsidRPr="00715429" w:rsidRDefault="00A30E95" w:rsidP="00332574">
      <w:pPr>
        <w:outlineLvl w:val="0"/>
        <w:rPr>
          <w:b/>
          <w:i/>
          <w:noProof/>
          <w:sz w:val="16"/>
          <w:szCs w:val="16"/>
          <w:lang w:val="hr-BA"/>
        </w:rPr>
      </w:pPr>
    </w:p>
    <w:p w:rsidR="0082570B" w:rsidRPr="00715429" w:rsidRDefault="0082570B" w:rsidP="005025EC">
      <w:pPr>
        <w:ind w:left="-142"/>
        <w:jc w:val="both"/>
        <w:rPr>
          <w:noProof/>
          <w:sz w:val="14"/>
          <w:szCs w:val="14"/>
          <w:lang w:val="hr-BA"/>
        </w:rPr>
      </w:pPr>
    </w:p>
    <w:sectPr w:rsidR="0082570B" w:rsidRPr="00715429" w:rsidSect="005025E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908" w:rsidRDefault="00E62908" w:rsidP="00965FCD">
      <w:pPr>
        <w:spacing w:after="0" w:line="240" w:lineRule="auto"/>
      </w:pPr>
      <w:r>
        <w:separator/>
      </w:r>
    </w:p>
  </w:endnote>
  <w:endnote w:type="continuationSeparator" w:id="1">
    <w:p w:rsidR="00E62908" w:rsidRDefault="00E62908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908" w:rsidRDefault="00E62908" w:rsidP="00965FCD">
      <w:pPr>
        <w:spacing w:after="0" w:line="240" w:lineRule="auto"/>
      </w:pPr>
      <w:r>
        <w:separator/>
      </w:r>
    </w:p>
  </w:footnote>
  <w:footnote w:type="continuationSeparator" w:id="1">
    <w:p w:rsidR="00E62908" w:rsidRDefault="00E62908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6"/>
  </w:num>
  <w:num w:numId="3">
    <w:abstractNumId w:val="26"/>
  </w:num>
  <w:num w:numId="4">
    <w:abstractNumId w:val="18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9"/>
  </w:num>
  <w:num w:numId="8">
    <w:abstractNumId w:val="2"/>
  </w:num>
  <w:num w:numId="9">
    <w:abstractNumId w:val="0"/>
  </w:num>
  <w:num w:numId="10">
    <w:abstractNumId w:val="25"/>
  </w:num>
  <w:num w:numId="11">
    <w:abstractNumId w:val="1"/>
  </w:num>
  <w:num w:numId="12">
    <w:abstractNumId w:val="24"/>
  </w:num>
  <w:num w:numId="13">
    <w:abstractNumId w:val="21"/>
  </w:num>
  <w:num w:numId="14">
    <w:abstractNumId w:val="7"/>
  </w:num>
  <w:num w:numId="15">
    <w:abstractNumId w:val="5"/>
  </w:num>
  <w:num w:numId="16">
    <w:abstractNumId w:val="14"/>
  </w:num>
  <w:num w:numId="17">
    <w:abstractNumId w:val="9"/>
  </w:num>
  <w:num w:numId="18">
    <w:abstractNumId w:val="17"/>
  </w:num>
  <w:num w:numId="19">
    <w:abstractNumId w:val="8"/>
  </w:num>
  <w:num w:numId="20">
    <w:abstractNumId w:val="15"/>
  </w:num>
  <w:num w:numId="21">
    <w:abstractNumId w:val="16"/>
  </w:num>
  <w:num w:numId="22">
    <w:abstractNumId w:val="12"/>
  </w:num>
  <w:num w:numId="23">
    <w:abstractNumId w:val="11"/>
  </w:num>
  <w:num w:numId="24">
    <w:abstractNumId w:val="23"/>
  </w:num>
  <w:num w:numId="25">
    <w:abstractNumId w:val="4"/>
  </w:num>
  <w:num w:numId="26">
    <w:abstractNumId w:val="10"/>
  </w:num>
  <w:num w:numId="27">
    <w:abstractNumId w:val="20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/>
  <w:rsids>
    <w:rsidRoot w:val="00D61692"/>
    <w:rsid w:val="000000CB"/>
    <w:rsid w:val="000009E1"/>
    <w:rsid w:val="000010A3"/>
    <w:rsid w:val="00003D78"/>
    <w:rsid w:val="00004B56"/>
    <w:rsid w:val="00005D5A"/>
    <w:rsid w:val="00007424"/>
    <w:rsid w:val="0001459D"/>
    <w:rsid w:val="000147A0"/>
    <w:rsid w:val="00014AAB"/>
    <w:rsid w:val="00014D0B"/>
    <w:rsid w:val="00014E6A"/>
    <w:rsid w:val="0001641E"/>
    <w:rsid w:val="0001692A"/>
    <w:rsid w:val="00017070"/>
    <w:rsid w:val="00017AE3"/>
    <w:rsid w:val="0002071C"/>
    <w:rsid w:val="00021033"/>
    <w:rsid w:val="000224B4"/>
    <w:rsid w:val="00022789"/>
    <w:rsid w:val="00022F81"/>
    <w:rsid w:val="0002327A"/>
    <w:rsid w:val="00024DC9"/>
    <w:rsid w:val="0002564B"/>
    <w:rsid w:val="00025AC0"/>
    <w:rsid w:val="000263A4"/>
    <w:rsid w:val="000300F0"/>
    <w:rsid w:val="000314E5"/>
    <w:rsid w:val="00031722"/>
    <w:rsid w:val="00031FAD"/>
    <w:rsid w:val="00032524"/>
    <w:rsid w:val="00032D34"/>
    <w:rsid w:val="000341DE"/>
    <w:rsid w:val="00034923"/>
    <w:rsid w:val="0003497A"/>
    <w:rsid w:val="00034D42"/>
    <w:rsid w:val="00034F07"/>
    <w:rsid w:val="0003544A"/>
    <w:rsid w:val="000369E1"/>
    <w:rsid w:val="00037558"/>
    <w:rsid w:val="00037B58"/>
    <w:rsid w:val="0004205C"/>
    <w:rsid w:val="000421A3"/>
    <w:rsid w:val="00042CE6"/>
    <w:rsid w:val="00043DED"/>
    <w:rsid w:val="000449CD"/>
    <w:rsid w:val="00044CB0"/>
    <w:rsid w:val="00045654"/>
    <w:rsid w:val="00045D59"/>
    <w:rsid w:val="00046C9E"/>
    <w:rsid w:val="00050101"/>
    <w:rsid w:val="00050EAB"/>
    <w:rsid w:val="00052732"/>
    <w:rsid w:val="00052DC4"/>
    <w:rsid w:val="00054068"/>
    <w:rsid w:val="000547A1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24EE"/>
    <w:rsid w:val="00064395"/>
    <w:rsid w:val="000645F3"/>
    <w:rsid w:val="00067726"/>
    <w:rsid w:val="00067FD6"/>
    <w:rsid w:val="00070965"/>
    <w:rsid w:val="000712B9"/>
    <w:rsid w:val="000734AF"/>
    <w:rsid w:val="00073786"/>
    <w:rsid w:val="00074378"/>
    <w:rsid w:val="000746C7"/>
    <w:rsid w:val="000747AC"/>
    <w:rsid w:val="00074C3E"/>
    <w:rsid w:val="00074D69"/>
    <w:rsid w:val="0007530C"/>
    <w:rsid w:val="0007555E"/>
    <w:rsid w:val="000771F2"/>
    <w:rsid w:val="00080AEE"/>
    <w:rsid w:val="000812E2"/>
    <w:rsid w:val="0008138F"/>
    <w:rsid w:val="00082D87"/>
    <w:rsid w:val="00083320"/>
    <w:rsid w:val="00085B67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505C"/>
    <w:rsid w:val="0009548F"/>
    <w:rsid w:val="000956EB"/>
    <w:rsid w:val="00097527"/>
    <w:rsid w:val="00097E38"/>
    <w:rsid w:val="000A1159"/>
    <w:rsid w:val="000A14DA"/>
    <w:rsid w:val="000A2350"/>
    <w:rsid w:val="000A2F52"/>
    <w:rsid w:val="000A33CB"/>
    <w:rsid w:val="000A4226"/>
    <w:rsid w:val="000A43CE"/>
    <w:rsid w:val="000A47FF"/>
    <w:rsid w:val="000A4E37"/>
    <w:rsid w:val="000A787A"/>
    <w:rsid w:val="000B19D0"/>
    <w:rsid w:val="000B1DD7"/>
    <w:rsid w:val="000B2B16"/>
    <w:rsid w:val="000B34E4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3655"/>
    <w:rsid w:val="000C36DB"/>
    <w:rsid w:val="000C5764"/>
    <w:rsid w:val="000C5FBB"/>
    <w:rsid w:val="000C65A2"/>
    <w:rsid w:val="000C6818"/>
    <w:rsid w:val="000C7278"/>
    <w:rsid w:val="000C72DD"/>
    <w:rsid w:val="000D0368"/>
    <w:rsid w:val="000D0374"/>
    <w:rsid w:val="000D09EB"/>
    <w:rsid w:val="000D52CF"/>
    <w:rsid w:val="000D588E"/>
    <w:rsid w:val="000D5D48"/>
    <w:rsid w:val="000D5ED7"/>
    <w:rsid w:val="000D6CD4"/>
    <w:rsid w:val="000D6DF1"/>
    <w:rsid w:val="000D765B"/>
    <w:rsid w:val="000D7A66"/>
    <w:rsid w:val="000E13EB"/>
    <w:rsid w:val="000E2251"/>
    <w:rsid w:val="000E2351"/>
    <w:rsid w:val="000E294A"/>
    <w:rsid w:val="000E3987"/>
    <w:rsid w:val="000E40CC"/>
    <w:rsid w:val="000E6096"/>
    <w:rsid w:val="000E77A4"/>
    <w:rsid w:val="000E7E9D"/>
    <w:rsid w:val="000F1186"/>
    <w:rsid w:val="000F1AA9"/>
    <w:rsid w:val="000F4D73"/>
    <w:rsid w:val="000F5B09"/>
    <w:rsid w:val="000F6577"/>
    <w:rsid w:val="000F6C6B"/>
    <w:rsid w:val="000F756E"/>
    <w:rsid w:val="000F7DDF"/>
    <w:rsid w:val="00100371"/>
    <w:rsid w:val="001021CB"/>
    <w:rsid w:val="001030CC"/>
    <w:rsid w:val="0010339D"/>
    <w:rsid w:val="00103CA9"/>
    <w:rsid w:val="0010452C"/>
    <w:rsid w:val="00106446"/>
    <w:rsid w:val="0010656B"/>
    <w:rsid w:val="00107128"/>
    <w:rsid w:val="00107647"/>
    <w:rsid w:val="00107A07"/>
    <w:rsid w:val="00112853"/>
    <w:rsid w:val="00112E23"/>
    <w:rsid w:val="00114109"/>
    <w:rsid w:val="001141E2"/>
    <w:rsid w:val="00114378"/>
    <w:rsid w:val="00115519"/>
    <w:rsid w:val="00115C83"/>
    <w:rsid w:val="00116365"/>
    <w:rsid w:val="001164A1"/>
    <w:rsid w:val="00116A8F"/>
    <w:rsid w:val="00117AB0"/>
    <w:rsid w:val="00120A3A"/>
    <w:rsid w:val="00123CBD"/>
    <w:rsid w:val="00124730"/>
    <w:rsid w:val="001251D5"/>
    <w:rsid w:val="001276C7"/>
    <w:rsid w:val="00127B5A"/>
    <w:rsid w:val="00131185"/>
    <w:rsid w:val="001326B7"/>
    <w:rsid w:val="00134816"/>
    <w:rsid w:val="00134A21"/>
    <w:rsid w:val="00134C6C"/>
    <w:rsid w:val="00136E70"/>
    <w:rsid w:val="00141FDD"/>
    <w:rsid w:val="00143FCB"/>
    <w:rsid w:val="00144C86"/>
    <w:rsid w:val="00144EE5"/>
    <w:rsid w:val="0014607D"/>
    <w:rsid w:val="00147278"/>
    <w:rsid w:val="00150707"/>
    <w:rsid w:val="00152409"/>
    <w:rsid w:val="00152E4F"/>
    <w:rsid w:val="001530CE"/>
    <w:rsid w:val="0015322D"/>
    <w:rsid w:val="00153490"/>
    <w:rsid w:val="00154145"/>
    <w:rsid w:val="0015515C"/>
    <w:rsid w:val="00156E33"/>
    <w:rsid w:val="001575F1"/>
    <w:rsid w:val="00157601"/>
    <w:rsid w:val="001577A1"/>
    <w:rsid w:val="00160183"/>
    <w:rsid w:val="001610BD"/>
    <w:rsid w:val="001613FC"/>
    <w:rsid w:val="001627A3"/>
    <w:rsid w:val="00163041"/>
    <w:rsid w:val="00163A7B"/>
    <w:rsid w:val="001644C7"/>
    <w:rsid w:val="001646BA"/>
    <w:rsid w:val="00165773"/>
    <w:rsid w:val="00165DE6"/>
    <w:rsid w:val="00167281"/>
    <w:rsid w:val="001672AB"/>
    <w:rsid w:val="001678F1"/>
    <w:rsid w:val="00170C82"/>
    <w:rsid w:val="00170CCE"/>
    <w:rsid w:val="00172816"/>
    <w:rsid w:val="00172D59"/>
    <w:rsid w:val="001730BE"/>
    <w:rsid w:val="00174836"/>
    <w:rsid w:val="0017540F"/>
    <w:rsid w:val="0017563A"/>
    <w:rsid w:val="00177AD9"/>
    <w:rsid w:val="00181309"/>
    <w:rsid w:val="001824C2"/>
    <w:rsid w:val="0018289E"/>
    <w:rsid w:val="0018331D"/>
    <w:rsid w:val="0018592D"/>
    <w:rsid w:val="0018626E"/>
    <w:rsid w:val="0018666E"/>
    <w:rsid w:val="00186BEF"/>
    <w:rsid w:val="00186F09"/>
    <w:rsid w:val="0018794A"/>
    <w:rsid w:val="00187C66"/>
    <w:rsid w:val="00190285"/>
    <w:rsid w:val="00191F90"/>
    <w:rsid w:val="00192506"/>
    <w:rsid w:val="00192F1E"/>
    <w:rsid w:val="001931C2"/>
    <w:rsid w:val="00193785"/>
    <w:rsid w:val="001942BA"/>
    <w:rsid w:val="001971A8"/>
    <w:rsid w:val="001A2829"/>
    <w:rsid w:val="001A2F7A"/>
    <w:rsid w:val="001A392F"/>
    <w:rsid w:val="001A594D"/>
    <w:rsid w:val="001A5B99"/>
    <w:rsid w:val="001A65F4"/>
    <w:rsid w:val="001A7319"/>
    <w:rsid w:val="001B0396"/>
    <w:rsid w:val="001B25FF"/>
    <w:rsid w:val="001B3267"/>
    <w:rsid w:val="001B3BE3"/>
    <w:rsid w:val="001B4CB9"/>
    <w:rsid w:val="001B4F99"/>
    <w:rsid w:val="001B7AD0"/>
    <w:rsid w:val="001B7D00"/>
    <w:rsid w:val="001C0237"/>
    <w:rsid w:val="001C0AB4"/>
    <w:rsid w:val="001C1490"/>
    <w:rsid w:val="001C1928"/>
    <w:rsid w:val="001C1F7E"/>
    <w:rsid w:val="001C22CB"/>
    <w:rsid w:val="001C23DD"/>
    <w:rsid w:val="001C264C"/>
    <w:rsid w:val="001C2751"/>
    <w:rsid w:val="001C51EC"/>
    <w:rsid w:val="001C5CE9"/>
    <w:rsid w:val="001C6120"/>
    <w:rsid w:val="001C6698"/>
    <w:rsid w:val="001C6750"/>
    <w:rsid w:val="001C70BA"/>
    <w:rsid w:val="001D0226"/>
    <w:rsid w:val="001D0A32"/>
    <w:rsid w:val="001D21BD"/>
    <w:rsid w:val="001D37FD"/>
    <w:rsid w:val="001D4E81"/>
    <w:rsid w:val="001E2403"/>
    <w:rsid w:val="001E29C8"/>
    <w:rsid w:val="001E29D1"/>
    <w:rsid w:val="001E2BC7"/>
    <w:rsid w:val="001E33FE"/>
    <w:rsid w:val="001E4EAE"/>
    <w:rsid w:val="001E5BE3"/>
    <w:rsid w:val="001E5E69"/>
    <w:rsid w:val="001F1378"/>
    <w:rsid w:val="001F19CC"/>
    <w:rsid w:val="001F27F8"/>
    <w:rsid w:val="001F2B57"/>
    <w:rsid w:val="001F3E69"/>
    <w:rsid w:val="001F4C02"/>
    <w:rsid w:val="001F69DD"/>
    <w:rsid w:val="001F7445"/>
    <w:rsid w:val="001F7C33"/>
    <w:rsid w:val="001F7C4B"/>
    <w:rsid w:val="002000E5"/>
    <w:rsid w:val="00200A3F"/>
    <w:rsid w:val="0020246C"/>
    <w:rsid w:val="00203447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5A2"/>
    <w:rsid w:val="0021614C"/>
    <w:rsid w:val="00220834"/>
    <w:rsid w:val="00220B59"/>
    <w:rsid w:val="002210E9"/>
    <w:rsid w:val="00222175"/>
    <w:rsid w:val="00223E45"/>
    <w:rsid w:val="00224AD0"/>
    <w:rsid w:val="002251C3"/>
    <w:rsid w:val="00225534"/>
    <w:rsid w:val="00225F74"/>
    <w:rsid w:val="002263B3"/>
    <w:rsid w:val="0022695C"/>
    <w:rsid w:val="00227682"/>
    <w:rsid w:val="00227D75"/>
    <w:rsid w:val="0023090D"/>
    <w:rsid w:val="00230DE8"/>
    <w:rsid w:val="00230FA2"/>
    <w:rsid w:val="00231268"/>
    <w:rsid w:val="00232A05"/>
    <w:rsid w:val="00233D4D"/>
    <w:rsid w:val="0023443E"/>
    <w:rsid w:val="00234902"/>
    <w:rsid w:val="00235857"/>
    <w:rsid w:val="00236B99"/>
    <w:rsid w:val="00237066"/>
    <w:rsid w:val="00237CC5"/>
    <w:rsid w:val="00240136"/>
    <w:rsid w:val="002402CA"/>
    <w:rsid w:val="00240CF4"/>
    <w:rsid w:val="002417C5"/>
    <w:rsid w:val="002427AE"/>
    <w:rsid w:val="00243419"/>
    <w:rsid w:val="00245A6C"/>
    <w:rsid w:val="00245B04"/>
    <w:rsid w:val="00247F1B"/>
    <w:rsid w:val="002503CE"/>
    <w:rsid w:val="0025102C"/>
    <w:rsid w:val="0025137D"/>
    <w:rsid w:val="00252FF6"/>
    <w:rsid w:val="00253ECF"/>
    <w:rsid w:val="00253F71"/>
    <w:rsid w:val="00256550"/>
    <w:rsid w:val="0025757E"/>
    <w:rsid w:val="00257D9D"/>
    <w:rsid w:val="00257EFB"/>
    <w:rsid w:val="00260688"/>
    <w:rsid w:val="00260976"/>
    <w:rsid w:val="00260EF0"/>
    <w:rsid w:val="002611D1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FD9"/>
    <w:rsid w:val="002717A8"/>
    <w:rsid w:val="002723A7"/>
    <w:rsid w:val="002723D9"/>
    <w:rsid w:val="00274EBC"/>
    <w:rsid w:val="00275609"/>
    <w:rsid w:val="00280105"/>
    <w:rsid w:val="00282488"/>
    <w:rsid w:val="00282DBE"/>
    <w:rsid w:val="00283704"/>
    <w:rsid w:val="002843B8"/>
    <w:rsid w:val="00285B0F"/>
    <w:rsid w:val="00287A18"/>
    <w:rsid w:val="00292EC3"/>
    <w:rsid w:val="00294586"/>
    <w:rsid w:val="00294DE0"/>
    <w:rsid w:val="00296127"/>
    <w:rsid w:val="00296B08"/>
    <w:rsid w:val="00297AC4"/>
    <w:rsid w:val="002A046A"/>
    <w:rsid w:val="002A0CAC"/>
    <w:rsid w:val="002A0D49"/>
    <w:rsid w:val="002A10A8"/>
    <w:rsid w:val="002A1639"/>
    <w:rsid w:val="002A1B2B"/>
    <w:rsid w:val="002A1CC2"/>
    <w:rsid w:val="002A1DC4"/>
    <w:rsid w:val="002A235B"/>
    <w:rsid w:val="002A2CED"/>
    <w:rsid w:val="002A4910"/>
    <w:rsid w:val="002A5C73"/>
    <w:rsid w:val="002A68B8"/>
    <w:rsid w:val="002B10AE"/>
    <w:rsid w:val="002B318C"/>
    <w:rsid w:val="002B3824"/>
    <w:rsid w:val="002B552A"/>
    <w:rsid w:val="002B74C5"/>
    <w:rsid w:val="002C010C"/>
    <w:rsid w:val="002C1A52"/>
    <w:rsid w:val="002C1FBF"/>
    <w:rsid w:val="002C25C6"/>
    <w:rsid w:val="002C4737"/>
    <w:rsid w:val="002C47B8"/>
    <w:rsid w:val="002C4845"/>
    <w:rsid w:val="002C4A81"/>
    <w:rsid w:val="002C6888"/>
    <w:rsid w:val="002C78FB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C76"/>
    <w:rsid w:val="002D4CDE"/>
    <w:rsid w:val="002D5187"/>
    <w:rsid w:val="002D5865"/>
    <w:rsid w:val="002D6F60"/>
    <w:rsid w:val="002D77A7"/>
    <w:rsid w:val="002D7BA6"/>
    <w:rsid w:val="002E294A"/>
    <w:rsid w:val="002E4D6D"/>
    <w:rsid w:val="002E6CB0"/>
    <w:rsid w:val="002F03B5"/>
    <w:rsid w:val="002F184C"/>
    <w:rsid w:val="002F19E7"/>
    <w:rsid w:val="002F2166"/>
    <w:rsid w:val="002F323A"/>
    <w:rsid w:val="002F3B70"/>
    <w:rsid w:val="002F47D9"/>
    <w:rsid w:val="002F5002"/>
    <w:rsid w:val="002F567B"/>
    <w:rsid w:val="002F579B"/>
    <w:rsid w:val="002F58BF"/>
    <w:rsid w:val="002F6AB2"/>
    <w:rsid w:val="002F707E"/>
    <w:rsid w:val="002F7C7C"/>
    <w:rsid w:val="003004B8"/>
    <w:rsid w:val="003022A7"/>
    <w:rsid w:val="00303D85"/>
    <w:rsid w:val="00303F02"/>
    <w:rsid w:val="0030680B"/>
    <w:rsid w:val="00307512"/>
    <w:rsid w:val="00307F4D"/>
    <w:rsid w:val="0031098B"/>
    <w:rsid w:val="00311A9D"/>
    <w:rsid w:val="00312994"/>
    <w:rsid w:val="00313CA3"/>
    <w:rsid w:val="0031558E"/>
    <w:rsid w:val="00315780"/>
    <w:rsid w:val="00315B94"/>
    <w:rsid w:val="003165E5"/>
    <w:rsid w:val="003201BC"/>
    <w:rsid w:val="00320293"/>
    <w:rsid w:val="003212E4"/>
    <w:rsid w:val="003217C9"/>
    <w:rsid w:val="00321CA6"/>
    <w:rsid w:val="00322DF3"/>
    <w:rsid w:val="00326769"/>
    <w:rsid w:val="00327AC3"/>
    <w:rsid w:val="00327BFC"/>
    <w:rsid w:val="00330832"/>
    <w:rsid w:val="00330C13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C49"/>
    <w:rsid w:val="00336033"/>
    <w:rsid w:val="00337648"/>
    <w:rsid w:val="00340752"/>
    <w:rsid w:val="00340909"/>
    <w:rsid w:val="003409C9"/>
    <w:rsid w:val="00341583"/>
    <w:rsid w:val="00341F7C"/>
    <w:rsid w:val="00344581"/>
    <w:rsid w:val="00344DF2"/>
    <w:rsid w:val="003454A9"/>
    <w:rsid w:val="0034655C"/>
    <w:rsid w:val="00346FFA"/>
    <w:rsid w:val="00350CFE"/>
    <w:rsid w:val="0035139C"/>
    <w:rsid w:val="003524FD"/>
    <w:rsid w:val="00354DDA"/>
    <w:rsid w:val="003561B8"/>
    <w:rsid w:val="003568F4"/>
    <w:rsid w:val="00357182"/>
    <w:rsid w:val="00357B8D"/>
    <w:rsid w:val="00357E66"/>
    <w:rsid w:val="00360100"/>
    <w:rsid w:val="00360197"/>
    <w:rsid w:val="00361C27"/>
    <w:rsid w:val="003625F1"/>
    <w:rsid w:val="003634DC"/>
    <w:rsid w:val="003638CF"/>
    <w:rsid w:val="00363C84"/>
    <w:rsid w:val="00364D14"/>
    <w:rsid w:val="00365311"/>
    <w:rsid w:val="003655B6"/>
    <w:rsid w:val="00365E46"/>
    <w:rsid w:val="00366F41"/>
    <w:rsid w:val="00376523"/>
    <w:rsid w:val="0037726C"/>
    <w:rsid w:val="00377697"/>
    <w:rsid w:val="00377A53"/>
    <w:rsid w:val="003809F3"/>
    <w:rsid w:val="0038117E"/>
    <w:rsid w:val="0038135E"/>
    <w:rsid w:val="003813A6"/>
    <w:rsid w:val="00381900"/>
    <w:rsid w:val="00381B03"/>
    <w:rsid w:val="0038259A"/>
    <w:rsid w:val="00382F01"/>
    <w:rsid w:val="00384DC2"/>
    <w:rsid w:val="00387C29"/>
    <w:rsid w:val="00387DAD"/>
    <w:rsid w:val="00390732"/>
    <w:rsid w:val="00391CC7"/>
    <w:rsid w:val="0039257B"/>
    <w:rsid w:val="003935B1"/>
    <w:rsid w:val="0039441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E5E"/>
    <w:rsid w:val="003A5C77"/>
    <w:rsid w:val="003A5EB6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A29"/>
    <w:rsid w:val="003B1C22"/>
    <w:rsid w:val="003B1D25"/>
    <w:rsid w:val="003B2900"/>
    <w:rsid w:val="003B2B30"/>
    <w:rsid w:val="003B2CAA"/>
    <w:rsid w:val="003B30D8"/>
    <w:rsid w:val="003B3299"/>
    <w:rsid w:val="003B436A"/>
    <w:rsid w:val="003B48D5"/>
    <w:rsid w:val="003B4F8C"/>
    <w:rsid w:val="003B5512"/>
    <w:rsid w:val="003B62EC"/>
    <w:rsid w:val="003B6749"/>
    <w:rsid w:val="003B6844"/>
    <w:rsid w:val="003B75FC"/>
    <w:rsid w:val="003B7F5E"/>
    <w:rsid w:val="003C0B90"/>
    <w:rsid w:val="003C1215"/>
    <w:rsid w:val="003C14C9"/>
    <w:rsid w:val="003C15EF"/>
    <w:rsid w:val="003C1D23"/>
    <w:rsid w:val="003C4817"/>
    <w:rsid w:val="003C5E7B"/>
    <w:rsid w:val="003C6A22"/>
    <w:rsid w:val="003C7870"/>
    <w:rsid w:val="003C79AC"/>
    <w:rsid w:val="003D1EDB"/>
    <w:rsid w:val="003D4359"/>
    <w:rsid w:val="003D4739"/>
    <w:rsid w:val="003D56FD"/>
    <w:rsid w:val="003D75A1"/>
    <w:rsid w:val="003D78F3"/>
    <w:rsid w:val="003D7D58"/>
    <w:rsid w:val="003E0266"/>
    <w:rsid w:val="003E0C4A"/>
    <w:rsid w:val="003E221F"/>
    <w:rsid w:val="003E3296"/>
    <w:rsid w:val="003E3C65"/>
    <w:rsid w:val="003E3F0E"/>
    <w:rsid w:val="003E4749"/>
    <w:rsid w:val="003E4CC0"/>
    <w:rsid w:val="003E51DE"/>
    <w:rsid w:val="003E5D3F"/>
    <w:rsid w:val="003E60D1"/>
    <w:rsid w:val="003E719B"/>
    <w:rsid w:val="003E757E"/>
    <w:rsid w:val="003F0052"/>
    <w:rsid w:val="003F0CAE"/>
    <w:rsid w:val="003F0EA8"/>
    <w:rsid w:val="003F250B"/>
    <w:rsid w:val="003F5183"/>
    <w:rsid w:val="003F56BD"/>
    <w:rsid w:val="003F5A35"/>
    <w:rsid w:val="003F7085"/>
    <w:rsid w:val="0040060E"/>
    <w:rsid w:val="00400C11"/>
    <w:rsid w:val="004010A8"/>
    <w:rsid w:val="00401DED"/>
    <w:rsid w:val="00402680"/>
    <w:rsid w:val="00404546"/>
    <w:rsid w:val="00406097"/>
    <w:rsid w:val="00406C7B"/>
    <w:rsid w:val="00407182"/>
    <w:rsid w:val="004078E5"/>
    <w:rsid w:val="00407FE4"/>
    <w:rsid w:val="00412F68"/>
    <w:rsid w:val="0041311D"/>
    <w:rsid w:val="00413FFD"/>
    <w:rsid w:val="00415784"/>
    <w:rsid w:val="00415806"/>
    <w:rsid w:val="004159BE"/>
    <w:rsid w:val="004168B3"/>
    <w:rsid w:val="0041784C"/>
    <w:rsid w:val="00417DAC"/>
    <w:rsid w:val="00417E13"/>
    <w:rsid w:val="00420CBC"/>
    <w:rsid w:val="00421432"/>
    <w:rsid w:val="00421CD5"/>
    <w:rsid w:val="00421E9D"/>
    <w:rsid w:val="00422784"/>
    <w:rsid w:val="00423EE9"/>
    <w:rsid w:val="00425EC2"/>
    <w:rsid w:val="00427187"/>
    <w:rsid w:val="00427696"/>
    <w:rsid w:val="00427FB8"/>
    <w:rsid w:val="004306A4"/>
    <w:rsid w:val="00431253"/>
    <w:rsid w:val="00432066"/>
    <w:rsid w:val="00435D37"/>
    <w:rsid w:val="00436469"/>
    <w:rsid w:val="00436FB4"/>
    <w:rsid w:val="004379FA"/>
    <w:rsid w:val="00442E20"/>
    <w:rsid w:val="0044465C"/>
    <w:rsid w:val="0044550D"/>
    <w:rsid w:val="00445736"/>
    <w:rsid w:val="00446DA9"/>
    <w:rsid w:val="004471B9"/>
    <w:rsid w:val="00447221"/>
    <w:rsid w:val="004509F6"/>
    <w:rsid w:val="00453CE3"/>
    <w:rsid w:val="00454093"/>
    <w:rsid w:val="00454C7D"/>
    <w:rsid w:val="00455227"/>
    <w:rsid w:val="004574D9"/>
    <w:rsid w:val="0045758B"/>
    <w:rsid w:val="00461324"/>
    <w:rsid w:val="0046148B"/>
    <w:rsid w:val="00461657"/>
    <w:rsid w:val="00461995"/>
    <w:rsid w:val="004634E4"/>
    <w:rsid w:val="004639A5"/>
    <w:rsid w:val="004655E7"/>
    <w:rsid w:val="0046659C"/>
    <w:rsid w:val="00466A02"/>
    <w:rsid w:val="00466E96"/>
    <w:rsid w:val="00466F15"/>
    <w:rsid w:val="00467156"/>
    <w:rsid w:val="00467511"/>
    <w:rsid w:val="0047022C"/>
    <w:rsid w:val="00470C90"/>
    <w:rsid w:val="004725CB"/>
    <w:rsid w:val="0047278D"/>
    <w:rsid w:val="00475763"/>
    <w:rsid w:val="00475BE2"/>
    <w:rsid w:val="00480082"/>
    <w:rsid w:val="00483B9D"/>
    <w:rsid w:val="0048470D"/>
    <w:rsid w:val="004848E8"/>
    <w:rsid w:val="00484EA7"/>
    <w:rsid w:val="004865CE"/>
    <w:rsid w:val="004868F5"/>
    <w:rsid w:val="0048699B"/>
    <w:rsid w:val="00487296"/>
    <w:rsid w:val="0049070F"/>
    <w:rsid w:val="00491368"/>
    <w:rsid w:val="00492CE5"/>
    <w:rsid w:val="004932C1"/>
    <w:rsid w:val="00493B63"/>
    <w:rsid w:val="004940E0"/>
    <w:rsid w:val="00496861"/>
    <w:rsid w:val="004A1113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B1C2A"/>
    <w:rsid w:val="004B1ECF"/>
    <w:rsid w:val="004B378C"/>
    <w:rsid w:val="004B41B2"/>
    <w:rsid w:val="004B5F63"/>
    <w:rsid w:val="004B7800"/>
    <w:rsid w:val="004B7883"/>
    <w:rsid w:val="004B7C4B"/>
    <w:rsid w:val="004C0135"/>
    <w:rsid w:val="004C0541"/>
    <w:rsid w:val="004C16F3"/>
    <w:rsid w:val="004C1D3E"/>
    <w:rsid w:val="004C206D"/>
    <w:rsid w:val="004C2EA5"/>
    <w:rsid w:val="004C373F"/>
    <w:rsid w:val="004C3C31"/>
    <w:rsid w:val="004C659C"/>
    <w:rsid w:val="004D49A0"/>
    <w:rsid w:val="004D4E0F"/>
    <w:rsid w:val="004D7775"/>
    <w:rsid w:val="004E02D3"/>
    <w:rsid w:val="004E12DB"/>
    <w:rsid w:val="004E28B9"/>
    <w:rsid w:val="004E4063"/>
    <w:rsid w:val="004E475F"/>
    <w:rsid w:val="004E5F03"/>
    <w:rsid w:val="004E6169"/>
    <w:rsid w:val="004E6C21"/>
    <w:rsid w:val="004E7335"/>
    <w:rsid w:val="004E7676"/>
    <w:rsid w:val="004F17AF"/>
    <w:rsid w:val="004F2797"/>
    <w:rsid w:val="004F288B"/>
    <w:rsid w:val="004F31D0"/>
    <w:rsid w:val="004F3817"/>
    <w:rsid w:val="004F4CFC"/>
    <w:rsid w:val="004F50B8"/>
    <w:rsid w:val="004F5DA8"/>
    <w:rsid w:val="004F62C2"/>
    <w:rsid w:val="004F7808"/>
    <w:rsid w:val="004F7D2D"/>
    <w:rsid w:val="004F7F54"/>
    <w:rsid w:val="004F7F71"/>
    <w:rsid w:val="005025EC"/>
    <w:rsid w:val="005027D6"/>
    <w:rsid w:val="0050365D"/>
    <w:rsid w:val="005065E6"/>
    <w:rsid w:val="005070CF"/>
    <w:rsid w:val="005078B9"/>
    <w:rsid w:val="00507D4D"/>
    <w:rsid w:val="00511F1F"/>
    <w:rsid w:val="0051201B"/>
    <w:rsid w:val="0051345D"/>
    <w:rsid w:val="00516264"/>
    <w:rsid w:val="00516511"/>
    <w:rsid w:val="00517175"/>
    <w:rsid w:val="00517B19"/>
    <w:rsid w:val="00521DE6"/>
    <w:rsid w:val="005221F4"/>
    <w:rsid w:val="00522282"/>
    <w:rsid w:val="00524587"/>
    <w:rsid w:val="0052511E"/>
    <w:rsid w:val="0052531F"/>
    <w:rsid w:val="005253D1"/>
    <w:rsid w:val="005264EC"/>
    <w:rsid w:val="00530AE6"/>
    <w:rsid w:val="00532B88"/>
    <w:rsid w:val="005331BD"/>
    <w:rsid w:val="0053330B"/>
    <w:rsid w:val="005337B0"/>
    <w:rsid w:val="00533C4D"/>
    <w:rsid w:val="005340BA"/>
    <w:rsid w:val="005343F8"/>
    <w:rsid w:val="00534ED3"/>
    <w:rsid w:val="0053502A"/>
    <w:rsid w:val="0053621B"/>
    <w:rsid w:val="00536525"/>
    <w:rsid w:val="0053722D"/>
    <w:rsid w:val="005374C9"/>
    <w:rsid w:val="00540842"/>
    <w:rsid w:val="00540D55"/>
    <w:rsid w:val="00541131"/>
    <w:rsid w:val="00541D70"/>
    <w:rsid w:val="005429A2"/>
    <w:rsid w:val="005436E2"/>
    <w:rsid w:val="00543A1F"/>
    <w:rsid w:val="005468F5"/>
    <w:rsid w:val="00546967"/>
    <w:rsid w:val="00547212"/>
    <w:rsid w:val="005479C8"/>
    <w:rsid w:val="00547B34"/>
    <w:rsid w:val="00547C53"/>
    <w:rsid w:val="005523CF"/>
    <w:rsid w:val="00552402"/>
    <w:rsid w:val="0055364A"/>
    <w:rsid w:val="00553E61"/>
    <w:rsid w:val="0055409D"/>
    <w:rsid w:val="00555066"/>
    <w:rsid w:val="0055507E"/>
    <w:rsid w:val="00555A5E"/>
    <w:rsid w:val="005562D6"/>
    <w:rsid w:val="005568D7"/>
    <w:rsid w:val="0055713F"/>
    <w:rsid w:val="00560113"/>
    <w:rsid w:val="00560529"/>
    <w:rsid w:val="00560667"/>
    <w:rsid w:val="00561992"/>
    <w:rsid w:val="00562086"/>
    <w:rsid w:val="00564436"/>
    <w:rsid w:val="005644BB"/>
    <w:rsid w:val="0056509E"/>
    <w:rsid w:val="00565662"/>
    <w:rsid w:val="00566BFA"/>
    <w:rsid w:val="005700F4"/>
    <w:rsid w:val="00570C9B"/>
    <w:rsid w:val="00570EEF"/>
    <w:rsid w:val="005715D6"/>
    <w:rsid w:val="00571A37"/>
    <w:rsid w:val="0057438A"/>
    <w:rsid w:val="00575B7D"/>
    <w:rsid w:val="005764FB"/>
    <w:rsid w:val="00580172"/>
    <w:rsid w:val="00580859"/>
    <w:rsid w:val="00581749"/>
    <w:rsid w:val="005818A8"/>
    <w:rsid w:val="00581D4E"/>
    <w:rsid w:val="005829D9"/>
    <w:rsid w:val="00583591"/>
    <w:rsid w:val="005838F0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2DF3"/>
    <w:rsid w:val="00593B25"/>
    <w:rsid w:val="00595DA2"/>
    <w:rsid w:val="00596079"/>
    <w:rsid w:val="005966E6"/>
    <w:rsid w:val="005A054F"/>
    <w:rsid w:val="005A0B3D"/>
    <w:rsid w:val="005A13E6"/>
    <w:rsid w:val="005A17DE"/>
    <w:rsid w:val="005A1C61"/>
    <w:rsid w:val="005A4AB8"/>
    <w:rsid w:val="005A5064"/>
    <w:rsid w:val="005A5229"/>
    <w:rsid w:val="005B0DB1"/>
    <w:rsid w:val="005B18F4"/>
    <w:rsid w:val="005B25F8"/>
    <w:rsid w:val="005B2BF5"/>
    <w:rsid w:val="005B32A9"/>
    <w:rsid w:val="005B5CB7"/>
    <w:rsid w:val="005B5F21"/>
    <w:rsid w:val="005B7040"/>
    <w:rsid w:val="005C19AB"/>
    <w:rsid w:val="005C363C"/>
    <w:rsid w:val="005C3915"/>
    <w:rsid w:val="005C3D3E"/>
    <w:rsid w:val="005C4CBE"/>
    <w:rsid w:val="005C4DBD"/>
    <w:rsid w:val="005C4E87"/>
    <w:rsid w:val="005C5F38"/>
    <w:rsid w:val="005D07D1"/>
    <w:rsid w:val="005D0E14"/>
    <w:rsid w:val="005D2F3D"/>
    <w:rsid w:val="005D4BC4"/>
    <w:rsid w:val="005D5D14"/>
    <w:rsid w:val="005D5E2D"/>
    <w:rsid w:val="005D6EEB"/>
    <w:rsid w:val="005D751B"/>
    <w:rsid w:val="005E0358"/>
    <w:rsid w:val="005E038B"/>
    <w:rsid w:val="005E150E"/>
    <w:rsid w:val="005E199C"/>
    <w:rsid w:val="005E2852"/>
    <w:rsid w:val="005E2B06"/>
    <w:rsid w:val="005E35C9"/>
    <w:rsid w:val="005E4CD1"/>
    <w:rsid w:val="005E55DD"/>
    <w:rsid w:val="005E5941"/>
    <w:rsid w:val="005E6D35"/>
    <w:rsid w:val="005F060E"/>
    <w:rsid w:val="005F13D5"/>
    <w:rsid w:val="005F50EA"/>
    <w:rsid w:val="005F568D"/>
    <w:rsid w:val="005F66B5"/>
    <w:rsid w:val="006006C6"/>
    <w:rsid w:val="006050EA"/>
    <w:rsid w:val="006070E0"/>
    <w:rsid w:val="006071F2"/>
    <w:rsid w:val="00607217"/>
    <w:rsid w:val="00607500"/>
    <w:rsid w:val="00607541"/>
    <w:rsid w:val="0061084D"/>
    <w:rsid w:val="00610DDD"/>
    <w:rsid w:val="00611BC2"/>
    <w:rsid w:val="006127E9"/>
    <w:rsid w:val="00612A53"/>
    <w:rsid w:val="00612A74"/>
    <w:rsid w:val="00612F5E"/>
    <w:rsid w:val="00613676"/>
    <w:rsid w:val="006139C9"/>
    <w:rsid w:val="006142D5"/>
    <w:rsid w:val="006152FB"/>
    <w:rsid w:val="0061569F"/>
    <w:rsid w:val="00616B6E"/>
    <w:rsid w:val="00617CA0"/>
    <w:rsid w:val="00620ACF"/>
    <w:rsid w:val="00620FA4"/>
    <w:rsid w:val="0062188F"/>
    <w:rsid w:val="00621B53"/>
    <w:rsid w:val="0062271A"/>
    <w:rsid w:val="00622F10"/>
    <w:rsid w:val="00622FAC"/>
    <w:rsid w:val="00623BC4"/>
    <w:rsid w:val="00624C12"/>
    <w:rsid w:val="00630010"/>
    <w:rsid w:val="006304FD"/>
    <w:rsid w:val="00632692"/>
    <w:rsid w:val="00634B74"/>
    <w:rsid w:val="006357BA"/>
    <w:rsid w:val="0063610A"/>
    <w:rsid w:val="006364A1"/>
    <w:rsid w:val="00642A13"/>
    <w:rsid w:val="00642F40"/>
    <w:rsid w:val="006435D8"/>
    <w:rsid w:val="00645ED4"/>
    <w:rsid w:val="00647463"/>
    <w:rsid w:val="00647B12"/>
    <w:rsid w:val="006509EE"/>
    <w:rsid w:val="00650AC3"/>
    <w:rsid w:val="00651027"/>
    <w:rsid w:val="0065108A"/>
    <w:rsid w:val="006534C5"/>
    <w:rsid w:val="0065398C"/>
    <w:rsid w:val="00653CF3"/>
    <w:rsid w:val="00654A8A"/>
    <w:rsid w:val="0065518C"/>
    <w:rsid w:val="00655E97"/>
    <w:rsid w:val="0065775B"/>
    <w:rsid w:val="00657F58"/>
    <w:rsid w:val="00661339"/>
    <w:rsid w:val="00661C7E"/>
    <w:rsid w:val="00663690"/>
    <w:rsid w:val="00664DEB"/>
    <w:rsid w:val="00666EFC"/>
    <w:rsid w:val="0066756D"/>
    <w:rsid w:val="00670373"/>
    <w:rsid w:val="006705D4"/>
    <w:rsid w:val="00670C5E"/>
    <w:rsid w:val="00670C6E"/>
    <w:rsid w:val="00671200"/>
    <w:rsid w:val="00671844"/>
    <w:rsid w:val="00671961"/>
    <w:rsid w:val="006723F0"/>
    <w:rsid w:val="00672DCB"/>
    <w:rsid w:val="006751BF"/>
    <w:rsid w:val="006752C1"/>
    <w:rsid w:val="006756E9"/>
    <w:rsid w:val="006759B4"/>
    <w:rsid w:val="00675DCF"/>
    <w:rsid w:val="006760A4"/>
    <w:rsid w:val="00676256"/>
    <w:rsid w:val="00676A4B"/>
    <w:rsid w:val="00676C8B"/>
    <w:rsid w:val="0067730D"/>
    <w:rsid w:val="006807FE"/>
    <w:rsid w:val="00680A78"/>
    <w:rsid w:val="00681351"/>
    <w:rsid w:val="00681A9E"/>
    <w:rsid w:val="00682718"/>
    <w:rsid w:val="00684818"/>
    <w:rsid w:val="00684902"/>
    <w:rsid w:val="00685393"/>
    <w:rsid w:val="006900D2"/>
    <w:rsid w:val="00690A2B"/>
    <w:rsid w:val="00690D87"/>
    <w:rsid w:val="00690EA9"/>
    <w:rsid w:val="006910F4"/>
    <w:rsid w:val="00692810"/>
    <w:rsid w:val="0069434B"/>
    <w:rsid w:val="00694445"/>
    <w:rsid w:val="00694991"/>
    <w:rsid w:val="00695141"/>
    <w:rsid w:val="00695AC5"/>
    <w:rsid w:val="006966E3"/>
    <w:rsid w:val="006971AF"/>
    <w:rsid w:val="00697A91"/>
    <w:rsid w:val="006A0B4A"/>
    <w:rsid w:val="006A144B"/>
    <w:rsid w:val="006A174E"/>
    <w:rsid w:val="006A1C8D"/>
    <w:rsid w:val="006A290B"/>
    <w:rsid w:val="006A478E"/>
    <w:rsid w:val="006A4801"/>
    <w:rsid w:val="006A5DE6"/>
    <w:rsid w:val="006A5F7F"/>
    <w:rsid w:val="006A6C58"/>
    <w:rsid w:val="006A6FB2"/>
    <w:rsid w:val="006B159D"/>
    <w:rsid w:val="006B21AB"/>
    <w:rsid w:val="006B22E5"/>
    <w:rsid w:val="006B2866"/>
    <w:rsid w:val="006B3579"/>
    <w:rsid w:val="006B4777"/>
    <w:rsid w:val="006B5211"/>
    <w:rsid w:val="006B5863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EF6"/>
    <w:rsid w:val="006C3C84"/>
    <w:rsid w:val="006C5096"/>
    <w:rsid w:val="006C5F17"/>
    <w:rsid w:val="006C6303"/>
    <w:rsid w:val="006C6B7E"/>
    <w:rsid w:val="006C6BF9"/>
    <w:rsid w:val="006C6C06"/>
    <w:rsid w:val="006C7BA4"/>
    <w:rsid w:val="006C7EA3"/>
    <w:rsid w:val="006D1A57"/>
    <w:rsid w:val="006D1BC2"/>
    <w:rsid w:val="006D2608"/>
    <w:rsid w:val="006D2A9C"/>
    <w:rsid w:val="006D2B20"/>
    <w:rsid w:val="006D2D6C"/>
    <w:rsid w:val="006D3720"/>
    <w:rsid w:val="006D3727"/>
    <w:rsid w:val="006D3763"/>
    <w:rsid w:val="006D4A5C"/>
    <w:rsid w:val="006D53D7"/>
    <w:rsid w:val="006D5B24"/>
    <w:rsid w:val="006D7398"/>
    <w:rsid w:val="006D74DB"/>
    <w:rsid w:val="006E11AC"/>
    <w:rsid w:val="006E11E0"/>
    <w:rsid w:val="006E4128"/>
    <w:rsid w:val="006E4746"/>
    <w:rsid w:val="006E4B91"/>
    <w:rsid w:val="006E6751"/>
    <w:rsid w:val="006E7282"/>
    <w:rsid w:val="006F0752"/>
    <w:rsid w:val="006F1525"/>
    <w:rsid w:val="006F1AFE"/>
    <w:rsid w:val="006F2861"/>
    <w:rsid w:val="006F4309"/>
    <w:rsid w:val="006F4C84"/>
    <w:rsid w:val="006F5E1B"/>
    <w:rsid w:val="006F6B2B"/>
    <w:rsid w:val="006F6D5E"/>
    <w:rsid w:val="006F7123"/>
    <w:rsid w:val="006F7C03"/>
    <w:rsid w:val="00701093"/>
    <w:rsid w:val="007027D1"/>
    <w:rsid w:val="00703B0B"/>
    <w:rsid w:val="00705089"/>
    <w:rsid w:val="007055C9"/>
    <w:rsid w:val="007067B2"/>
    <w:rsid w:val="00706A33"/>
    <w:rsid w:val="00706CF0"/>
    <w:rsid w:val="00707E96"/>
    <w:rsid w:val="00710BC7"/>
    <w:rsid w:val="00712271"/>
    <w:rsid w:val="00712C9A"/>
    <w:rsid w:val="00712CC4"/>
    <w:rsid w:val="00713AA0"/>
    <w:rsid w:val="00715429"/>
    <w:rsid w:val="00715597"/>
    <w:rsid w:val="00715DEB"/>
    <w:rsid w:val="00716A7D"/>
    <w:rsid w:val="00716B14"/>
    <w:rsid w:val="0071757A"/>
    <w:rsid w:val="00717FE8"/>
    <w:rsid w:val="00720A33"/>
    <w:rsid w:val="00721DCD"/>
    <w:rsid w:val="007227E1"/>
    <w:rsid w:val="00722A4C"/>
    <w:rsid w:val="007234B4"/>
    <w:rsid w:val="00725D07"/>
    <w:rsid w:val="00725E16"/>
    <w:rsid w:val="00727967"/>
    <w:rsid w:val="00727BED"/>
    <w:rsid w:val="007307C9"/>
    <w:rsid w:val="007319C8"/>
    <w:rsid w:val="00731BF4"/>
    <w:rsid w:val="007326D7"/>
    <w:rsid w:val="00733BCB"/>
    <w:rsid w:val="0073431B"/>
    <w:rsid w:val="00734688"/>
    <w:rsid w:val="00734729"/>
    <w:rsid w:val="00736A98"/>
    <w:rsid w:val="00736C15"/>
    <w:rsid w:val="00736E76"/>
    <w:rsid w:val="0073706D"/>
    <w:rsid w:val="007375FD"/>
    <w:rsid w:val="00737DB4"/>
    <w:rsid w:val="007406F2"/>
    <w:rsid w:val="00742C04"/>
    <w:rsid w:val="00743684"/>
    <w:rsid w:val="007452A1"/>
    <w:rsid w:val="00745BCE"/>
    <w:rsid w:val="00745F91"/>
    <w:rsid w:val="00746132"/>
    <w:rsid w:val="007469F9"/>
    <w:rsid w:val="00747828"/>
    <w:rsid w:val="00750866"/>
    <w:rsid w:val="007515DA"/>
    <w:rsid w:val="007534AA"/>
    <w:rsid w:val="00753C0A"/>
    <w:rsid w:val="00753E85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79F4"/>
    <w:rsid w:val="00757A6C"/>
    <w:rsid w:val="0076100C"/>
    <w:rsid w:val="00761287"/>
    <w:rsid w:val="0076182F"/>
    <w:rsid w:val="007618B8"/>
    <w:rsid w:val="00762622"/>
    <w:rsid w:val="0076413B"/>
    <w:rsid w:val="00764D09"/>
    <w:rsid w:val="007652FD"/>
    <w:rsid w:val="0076645A"/>
    <w:rsid w:val="007675AF"/>
    <w:rsid w:val="00770772"/>
    <w:rsid w:val="00771538"/>
    <w:rsid w:val="00771D94"/>
    <w:rsid w:val="007722BC"/>
    <w:rsid w:val="00772A01"/>
    <w:rsid w:val="00772F45"/>
    <w:rsid w:val="00773C65"/>
    <w:rsid w:val="00775529"/>
    <w:rsid w:val="00776A67"/>
    <w:rsid w:val="00776DE5"/>
    <w:rsid w:val="00777134"/>
    <w:rsid w:val="00781377"/>
    <w:rsid w:val="00781FAF"/>
    <w:rsid w:val="00783810"/>
    <w:rsid w:val="00783A9F"/>
    <w:rsid w:val="00784166"/>
    <w:rsid w:val="0078476D"/>
    <w:rsid w:val="00784BF8"/>
    <w:rsid w:val="00784DAE"/>
    <w:rsid w:val="00784E09"/>
    <w:rsid w:val="00785339"/>
    <w:rsid w:val="00786F50"/>
    <w:rsid w:val="00787A25"/>
    <w:rsid w:val="00787E88"/>
    <w:rsid w:val="00791DC2"/>
    <w:rsid w:val="00793A27"/>
    <w:rsid w:val="00793F4D"/>
    <w:rsid w:val="007941BB"/>
    <w:rsid w:val="00794B8C"/>
    <w:rsid w:val="00796ED1"/>
    <w:rsid w:val="007978AC"/>
    <w:rsid w:val="00797B66"/>
    <w:rsid w:val="00797BA2"/>
    <w:rsid w:val="007A0816"/>
    <w:rsid w:val="007A1882"/>
    <w:rsid w:val="007A1CFE"/>
    <w:rsid w:val="007A2091"/>
    <w:rsid w:val="007A2838"/>
    <w:rsid w:val="007A299E"/>
    <w:rsid w:val="007A2D7A"/>
    <w:rsid w:val="007A33EE"/>
    <w:rsid w:val="007A3B09"/>
    <w:rsid w:val="007A5A5D"/>
    <w:rsid w:val="007A67CB"/>
    <w:rsid w:val="007A6A82"/>
    <w:rsid w:val="007A73EE"/>
    <w:rsid w:val="007A7E1A"/>
    <w:rsid w:val="007B0888"/>
    <w:rsid w:val="007B0B93"/>
    <w:rsid w:val="007B41C4"/>
    <w:rsid w:val="007B5A1B"/>
    <w:rsid w:val="007B5C2E"/>
    <w:rsid w:val="007B7DBE"/>
    <w:rsid w:val="007B7EED"/>
    <w:rsid w:val="007C1EE8"/>
    <w:rsid w:val="007C2107"/>
    <w:rsid w:val="007C2827"/>
    <w:rsid w:val="007C43BE"/>
    <w:rsid w:val="007C49FF"/>
    <w:rsid w:val="007C601C"/>
    <w:rsid w:val="007D0106"/>
    <w:rsid w:val="007D033B"/>
    <w:rsid w:val="007D0956"/>
    <w:rsid w:val="007D39CD"/>
    <w:rsid w:val="007D410B"/>
    <w:rsid w:val="007D48C4"/>
    <w:rsid w:val="007D4C9D"/>
    <w:rsid w:val="007D4EE7"/>
    <w:rsid w:val="007D5AB1"/>
    <w:rsid w:val="007D6AA1"/>
    <w:rsid w:val="007D78E3"/>
    <w:rsid w:val="007E0203"/>
    <w:rsid w:val="007E056C"/>
    <w:rsid w:val="007E0761"/>
    <w:rsid w:val="007E081D"/>
    <w:rsid w:val="007E1AB8"/>
    <w:rsid w:val="007E293C"/>
    <w:rsid w:val="007E36EB"/>
    <w:rsid w:val="007E380A"/>
    <w:rsid w:val="007E5CC1"/>
    <w:rsid w:val="007E7DDD"/>
    <w:rsid w:val="007F182C"/>
    <w:rsid w:val="007F33E9"/>
    <w:rsid w:val="007F388B"/>
    <w:rsid w:val="007F4571"/>
    <w:rsid w:val="007F4D55"/>
    <w:rsid w:val="007F61AF"/>
    <w:rsid w:val="007F775F"/>
    <w:rsid w:val="007F7F34"/>
    <w:rsid w:val="0080031F"/>
    <w:rsid w:val="00801411"/>
    <w:rsid w:val="00801DB8"/>
    <w:rsid w:val="0080291E"/>
    <w:rsid w:val="00802B7F"/>
    <w:rsid w:val="00804F0B"/>
    <w:rsid w:val="00805844"/>
    <w:rsid w:val="00805F78"/>
    <w:rsid w:val="00806B4B"/>
    <w:rsid w:val="00810837"/>
    <w:rsid w:val="00810CC6"/>
    <w:rsid w:val="00810CDD"/>
    <w:rsid w:val="00811332"/>
    <w:rsid w:val="0081184B"/>
    <w:rsid w:val="00811943"/>
    <w:rsid w:val="00811DF5"/>
    <w:rsid w:val="00812862"/>
    <w:rsid w:val="00812E0B"/>
    <w:rsid w:val="00813346"/>
    <w:rsid w:val="00813F13"/>
    <w:rsid w:val="00814063"/>
    <w:rsid w:val="00815A2F"/>
    <w:rsid w:val="00815E6D"/>
    <w:rsid w:val="00817A6A"/>
    <w:rsid w:val="0082070B"/>
    <w:rsid w:val="0082084A"/>
    <w:rsid w:val="00822F67"/>
    <w:rsid w:val="008239BC"/>
    <w:rsid w:val="008251C2"/>
    <w:rsid w:val="0082570B"/>
    <w:rsid w:val="008269CE"/>
    <w:rsid w:val="0082721B"/>
    <w:rsid w:val="0083011C"/>
    <w:rsid w:val="008312F3"/>
    <w:rsid w:val="008343BA"/>
    <w:rsid w:val="0083553F"/>
    <w:rsid w:val="008355A8"/>
    <w:rsid w:val="00836A00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680E"/>
    <w:rsid w:val="00847B5B"/>
    <w:rsid w:val="00847C9F"/>
    <w:rsid w:val="00847EBF"/>
    <w:rsid w:val="0085098F"/>
    <w:rsid w:val="0085138D"/>
    <w:rsid w:val="00854098"/>
    <w:rsid w:val="0085673A"/>
    <w:rsid w:val="00856DE2"/>
    <w:rsid w:val="008573C7"/>
    <w:rsid w:val="00857B59"/>
    <w:rsid w:val="00860BDB"/>
    <w:rsid w:val="00861096"/>
    <w:rsid w:val="008617B7"/>
    <w:rsid w:val="00861D85"/>
    <w:rsid w:val="00861F52"/>
    <w:rsid w:val="00863019"/>
    <w:rsid w:val="00864891"/>
    <w:rsid w:val="00864D7E"/>
    <w:rsid w:val="008654E2"/>
    <w:rsid w:val="008656F4"/>
    <w:rsid w:val="00866008"/>
    <w:rsid w:val="00870795"/>
    <w:rsid w:val="00871ED5"/>
    <w:rsid w:val="008722E4"/>
    <w:rsid w:val="00873808"/>
    <w:rsid w:val="00873FD5"/>
    <w:rsid w:val="00874F31"/>
    <w:rsid w:val="0087527E"/>
    <w:rsid w:val="00875C4F"/>
    <w:rsid w:val="008770B1"/>
    <w:rsid w:val="00877642"/>
    <w:rsid w:val="00877FE9"/>
    <w:rsid w:val="00880646"/>
    <w:rsid w:val="00881C0B"/>
    <w:rsid w:val="00882650"/>
    <w:rsid w:val="00883754"/>
    <w:rsid w:val="008842AB"/>
    <w:rsid w:val="008844C7"/>
    <w:rsid w:val="008855BC"/>
    <w:rsid w:val="00886302"/>
    <w:rsid w:val="00886930"/>
    <w:rsid w:val="00886F12"/>
    <w:rsid w:val="008902D3"/>
    <w:rsid w:val="0089194A"/>
    <w:rsid w:val="0089243B"/>
    <w:rsid w:val="00892AFB"/>
    <w:rsid w:val="0089368B"/>
    <w:rsid w:val="00893A0A"/>
    <w:rsid w:val="0089702D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68EC"/>
    <w:rsid w:val="008A73B0"/>
    <w:rsid w:val="008B285E"/>
    <w:rsid w:val="008B2B3C"/>
    <w:rsid w:val="008B4A2E"/>
    <w:rsid w:val="008B58DE"/>
    <w:rsid w:val="008B599F"/>
    <w:rsid w:val="008B6202"/>
    <w:rsid w:val="008B665D"/>
    <w:rsid w:val="008B6D0D"/>
    <w:rsid w:val="008B6F16"/>
    <w:rsid w:val="008C01EB"/>
    <w:rsid w:val="008C15C8"/>
    <w:rsid w:val="008C215C"/>
    <w:rsid w:val="008C2299"/>
    <w:rsid w:val="008C34B7"/>
    <w:rsid w:val="008C3941"/>
    <w:rsid w:val="008C4151"/>
    <w:rsid w:val="008C5163"/>
    <w:rsid w:val="008C5984"/>
    <w:rsid w:val="008C7C7F"/>
    <w:rsid w:val="008D0308"/>
    <w:rsid w:val="008D0998"/>
    <w:rsid w:val="008D1539"/>
    <w:rsid w:val="008D20A3"/>
    <w:rsid w:val="008D27EB"/>
    <w:rsid w:val="008D2C8B"/>
    <w:rsid w:val="008D30AF"/>
    <w:rsid w:val="008D3CDF"/>
    <w:rsid w:val="008D4618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E90"/>
    <w:rsid w:val="008E10D6"/>
    <w:rsid w:val="008E27E6"/>
    <w:rsid w:val="008E2B58"/>
    <w:rsid w:val="008E33EA"/>
    <w:rsid w:val="008E3805"/>
    <w:rsid w:val="008E3D20"/>
    <w:rsid w:val="008E4582"/>
    <w:rsid w:val="008E462B"/>
    <w:rsid w:val="008E5EDA"/>
    <w:rsid w:val="008E636B"/>
    <w:rsid w:val="008E6D00"/>
    <w:rsid w:val="008E6F6E"/>
    <w:rsid w:val="008E7183"/>
    <w:rsid w:val="008E77D5"/>
    <w:rsid w:val="008F0415"/>
    <w:rsid w:val="008F0BE5"/>
    <w:rsid w:val="008F195C"/>
    <w:rsid w:val="008F34CB"/>
    <w:rsid w:val="008F3986"/>
    <w:rsid w:val="008F4F59"/>
    <w:rsid w:val="008F56AC"/>
    <w:rsid w:val="008F6653"/>
    <w:rsid w:val="008F6C10"/>
    <w:rsid w:val="008F71E6"/>
    <w:rsid w:val="008F7755"/>
    <w:rsid w:val="009008A2"/>
    <w:rsid w:val="00900F62"/>
    <w:rsid w:val="0090210D"/>
    <w:rsid w:val="0090227C"/>
    <w:rsid w:val="00902289"/>
    <w:rsid w:val="009022BB"/>
    <w:rsid w:val="009045B3"/>
    <w:rsid w:val="0090493D"/>
    <w:rsid w:val="00904C72"/>
    <w:rsid w:val="00904D4B"/>
    <w:rsid w:val="00904F52"/>
    <w:rsid w:val="00905430"/>
    <w:rsid w:val="00905BF5"/>
    <w:rsid w:val="00905F6A"/>
    <w:rsid w:val="00907FE0"/>
    <w:rsid w:val="00910CBD"/>
    <w:rsid w:val="0091144B"/>
    <w:rsid w:val="00912260"/>
    <w:rsid w:val="009126D6"/>
    <w:rsid w:val="00912CF8"/>
    <w:rsid w:val="00914124"/>
    <w:rsid w:val="00915488"/>
    <w:rsid w:val="00915576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74C"/>
    <w:rsid w:val="00925448"/>
    <w:rsid w:val="00925536"/>
    <w:rsid w:val="00925FF2"/>
    <w:rsid w:val="009271A2"/>
    <w:rsid w:val="009329C9"/>
    <w:rsid w:val="00933305"/>
    <w:rsid w:val="0093378D"/>
    <w:rsid w:val="0093484E"/>
    <w:rsid w:val="00935A48"/>
    <w:rsid w:val="00937C0F"/>
    <w:rsid w:val="009404CE"/>
    <w:rsid w:val="00940D56"/>
    <w:rsid w:val="00941C71"/>
    <w:rsid w:val="00941E99"/>
    <w:rsid w:val="0094299F"/>
    <w:rsid w:val="00942C49"/>
    <w:rsid w:val="009472A1"/>
    <w:rsid w:val="00947B02"/>
    <w:rsid w:val="00947E4E"/>
    <w:rsid w:val="009508FA"/>
    <w:rsid w:val="00951A56"/>
    <w:rsid w:val="009543FD"/>
    <w:rsid w:val="009545F5"/>
    <w:rsid w:val="009553DE"/>
    <w:rsid w:val="00955421"/>
    <w:rsid w:val="0095549B"/>
    <w:rsid w:val="00956F1D"/>
    <w:rsid w:val="0095708D"/>
    <w:rsid w:val="009570EC"/>
    <w:rsid w:val="00957325"/>
    <w:rsid w:val="009611F6"/>
    <w:rsid w:val="00961D65"/>
    <w:rsid w:val="00962341"/>
    <w:rsid w:val="00962426"/>
    <w:rsid w:val="009636C3"/>
    <w:rsid w:val="009637F1"/>
    <w:rsid w:val="009647DB"/>
    <w:rsid w:val="00965B35"/>
    <w:rsid w:val="00965E55"/>
    <w:rsid w:val="00965FCD"/>
    <w:rsid w:val="009667E4"/>
    <w:rsid w:val="00966CC3"/>
    <w:rsid w:val="009674E4"/>
    <w:rsid w:val="00967750"/>
    <w:rsid w:val="009707F3"/>
    <w:rsid w:val="00970817"/>
    <w:rsid w:val="009729C4"/>
    <w:rsid w:val="00972F5D"/>
    <w:rsid w:val="00973022"/>
    <w:rsid w:val="0097377E"/>
    <w:rsid w:val="00974320"/>
    <w:rsid w:val="00974AD2"/>
    <w:rsid w:val="00974F42"/>
    <w:rsid w:val="00975511"/>
    <w:rsid w:val="00980D4F"/>
    <w:rsid w:val="0098296F"/>
    <w:rsid w:val="00982E62"/>
    <w:rsid w:val="009836D7"/>
    <w:rsid w:val="0098375C"/>
    <w:rsid w:val="009851E4"/>
    <w:rsid w:val="0098562F"/>
    <w:rsid w:val="00985C9B"/>
    <w:rsid w:val="009860B5"/>
    <w:rsid w:val="00992420"/>
    <w:rsid w:val="00992B90"/>
    <w:rsid w:val="00993E5A"/>
    <w:rsid w:val="00994D96"/>
    <w:rsid w:val="009960CD"/>
    <w:rsid w:val="00997454"/>
    <w:rsid w:val="009A0736"/>
    <w:rsid w:val="009A1376"/>
    <w:rsid w:val="009A24E1"/>
    <w:rsid w:val="009A2EA5"/>
    <w:rsid w:val="009A4C61"/>
    <w:rsid w:val="009A4CA6"/>
    <w:rsid w:val="009A5640"/>
    <w:rsid w:val="009A63D0"/>
    <w:rsid w:val="009A6AC7"/>
    <w:rsid w:val="009A6D2F"/>
    <w:rsid w:val="009A74A7"/>
    <w:rsid w:val="009A792A"/>
    <w:rsid w:val="009A7E4A"/>
    <w:rsid w:val="009B1049"/>
    <w:rsid w:val="009B159E"/>
    <w:rsid w:val="009B1B81"/>
    <w:rsid w:val="009B1C0A"/>
    <w:rsid w:val="009B320B"/>
    <w:rsid w:val="009B5779"/>
    <w:rsid w:val="009B65AF"/>
    <w:rsid w:val="009B6603"/>
    <w:rsid w:val="009B6985"/>
    <w:rsid w:val="009C0493"/>
    <w:rsid w:val="009C162D"/>
    <w:rsid w:val="009C1D43"/>
    <w:rsid w:val="009C406B"/>
    <w:rsid w:val="009C41DE"/>
    <w:rsid w:val="009C42D7"/>
    <w:rsid w:val="009C4EAF"/>
    <w:rsid w:val="009C5011"/>
    <w:rsid w:val="009C5462"/>
    <w:rsid w:val="009C62C0"/>
    <w:rsid w:val="009C6D28"/>
    <w:rsid w:val="009C756D"/>
    <w:rsid w:val="009D04AF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E04A3"/>
    <w:rsid w:val="009E21B0"/>
    <w:rsid w:val="009E36CD"/>
    <w:rsid w:val="009E3E79"/>
    <w:rsid w:val="009E510B"/>
    <w:rsid w:val="009E58AC"/>
    <w:rsid w:val="009E5D48"/>
    <w:rsid w:val="009E70C1"/>
    <w:rsid w:val="009E7177"/>
    <w:rsid w:val="009F0EB0"/>
    <w:rsid w:val="009F1090"/>
    <w:rsid w:val="009F18E0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E29"/>
    <w:rsid w:val="00A00218"/>
    <w:rsid w:val="00A0035B"/>
    <w:rsid w:val="00A01261"/>
    <w:rsid w:val="00A0226B"/>
    <w:rsid w:val="00A040F6"/>
    <w:rsid w:val="00A060B3"/>
    <w:rsid w:val="00A06C70"/>
    <w:rsid w:val="00A06E10"/>
    <w:rsid w:val="00A07539"/>
    <w:rsid w:val="00A10CF5"/>
    <w:rsid w:val="00A119B4"/>
    <w:rsid w:val="00A119F1"/>
    <w:rsid w:val="00A11CDE"/>
    <w:rsid w:val="00A11E17"/>
    <w:rsid w:val="00A14996"/>
    <w:rsid w:val="00A16685"/>
    <w:rsid w:val="00A16C9B"/>
    <w:rsid w:val="00A17447"/>
    <w:rsid w:val="00A20571"/>
    <w:rsid w:val="00A2097F"/>
    <w:rsid w:val="00A209F6"/>
    <w:rsid w:val="00A20D1B"/>
    <w:rsid w:val="00A22776"/>
    <w:rsid w:val="00A22911"/>
    <w:rsid w:val="00A22FCE"/>
    <w:rsid w:val="00A233F2"/>
    <w:rsid w:val="00A23A9A"/>
    <w:rsid w:val="00A2480A"/>
    <w:rsid w:val="00A24849"/>
    <w:rsid w:val="00A2559B"/>
    <w:rsid w:val="00A25D5F"/>
    <w:rsid w:val="00A30660"/>
    <w:rsid w:val="00A30E95"/>
    <w:rsid w:val="00A3121D"/>
    <w:rsid w:val="00A324F2"/>
    <w:rsid w:val="00A33860"/>
    <w:rsid w:val="00A34E49"/>
    <w:rsid w:val="00A34E9D"/>
    <w:rsid w:val="00A3560C"/>
    <w:rsid w:val="00A35630"/>
    <w:rsid w:val="00A35C10"/>
    <w:rsid w:val="00A360C2"/>
    <w:rsid w:val="00A36F39"/>
    <w:rsid w:val="00A37526"/>
    <w:rsid w:val="00A3777A"/>
    <w:rsid w:val="00A4133A"/>
    <w:rsid w:val="00A419CE"/>
    <w:rsid w:val="00A423C3"/>
    <w:rsid w:val="00A429F2"/>
    <w:rsid w:val="00A4482B"/>
    <w:rsid w:val="00A44F75"/>
    <w:rsid w:val="00A451E5"/>
    <w:rsid w:val="00A45934"/>
    <w:rsid w:val="00A45F99"/>
    <w:rsid w:val="00A468B1"/>
    <w:rsid w:val="00A4692E"/>
    <w:rsid w:val="00A46C9C"/>
    <w:rsid w:val="00A46DEF"/>
    <w:rsid w:val="00A478AD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42C"/>
    <w:rsid w:val="00A56F16"/>
    <w:rsid w:val="00A57868"/>
    <w:rsid w:val="00A57CDB"/>
    <w:rsid w:val="00A6220E"/>
    <w:rsid w:val="00A62711"/>
    <w:rsid w:val="00A63167"/>
    <w:rsid w:val="00A63DB2"/>
    <w:rsid w:val="00A66994"/>
    <w:rsid w:val="00A66BEC"/>
    <w:rsid w:val="00A67103"/>
    <w:rsid w:val="00A67F78"/>
    <w:rsid w:val="00A719D1"/>
    <w:rsid w:val="00A72B22"/>
    <w:rsid w:val="00A73828"/>
    <w:rsid w:val="00A74590"/>
    <w:rsid w:val="00A75004"/>
    <w:rsid w:val="00A76BD3"/>
    <w:rsid w:val="00A80523"/>
    <w:rsid w:val="00A8105B"/>
    <w:rsid w:val="00A8196A"/>
    <w:rsid w:val="00A81A72"/>
    <w:rsid w:val="00A84EF6"/>
    <w:rsid w:val="00A85320"/>
    <w:rsid w:val="00A85322"/>
    <w:rsid w:val="00A862EE"/>
    <w:rsid w:val="00A86AE2"/>
    <w:rsid w:val="00A90134"/>
    <w:rsid w:val="00A919D2"/>
    <w:rsid w:val="00A92C88"/>
    <w:rsid w:val="00A93193"/>
    <w:rsid w:val="00A94105"/>
    <w:rsid w:val="00A9414F"/>
    <w:rsid w:val="00A94444"/>
    <w:rsid w:val="00A944B7"/>
    <w:rsid w:val="00A96249"/>
    <w:rsid w:val="00A965E6"/>
    <w:rsid w:val="00A96B95"/>
    <w:rsid w:val="00A975A4"/>
    <w:rsid w:val="00AA1568"/>
    <w:rsid w:val="00AA4229"/>
    <w:rsid w:val="00AA4C9B"/>
    <w:rsid w:val="00AA53FC"/>
    <w:rsid w:val="00AA57C2"/>
    <w:rsid w:val="00AA6286"/>
    <w:rsid w:val="00AA6372"/>
    <w:rsid w:val="00AA728A"/>
    <w:rsid w:val="00AB08DE"/>
    <w:rsid w:val="00AB1AAD"/>
    <w:rsid w:val="00AB356D"/>
    <w:rsid w:val="00AB3700"/>
    <w:rsid w:val="00AB47EB"/>
    <w:rsid w:val="00AB4C24"/>
    <w:rsid w:val="00AB4C79"/>
    <w:rsid w:val="00AB517A"/>
    <w:rsid w:val="00AB7198"/>
    <w:rsid w:val="00AC28E1"/>
    <w:rsid w:val="00AC2EF2"/>
    <w:rsid w:val="00AC33D0"/>
    <w:rsid w:val="00AC41A8"/>
    <w:rsid w:val="00AC4D78"/>
    <w:rsid w:val="00AC4E44"/>
    <w:rsid w:val="00AC717C"/>
    <w:rsid w:val="00AC7CE7"/>
    <w:rsid w:val="00AD02E0"/>
    <w:rsid w:val="00AD0474"/>
    <w:rsid w:val="00AD0892"/>
    <w:rsid w:val="00AD0FC1"/>
    <w:rsid w:val="00AD1B16"/>
    <w:rsid w:val="00AD1CF2"/>
    <w:rsid w:val="00AD2C28"/>
    <w:rsid w:val="00AD308A"/>
    <w:rsid w:val="00AD4978"/>
    <w:rsid w:val="00AD5FD2"/>
    <w:rsid w:val="00AD677F"/>
    <w:rsid w:val="00AD69AC"/>
    <w:rsid w:val="00AD6C85"/>
    <w:rsid w:val="00AD6E0C"/>
    <w:rsid w:val="00AD71D3"/>
    <w:rsid w:val="00AD725A"/>
    <w:rsid w:val="00AD7672"/>
    <w:rsid w:val="00AE1A52"/>
    <w:rsid w:val="00AE2C4C"/>
    <w:rsid w:val="00AE2FC9"/>
    <w:rsid w:val="00AE3B29"/>
    <w:rsid w:val="00AE3EC8"/>
    <w:rsid w:val="00AE46D2"/>
    <w:rsid w:val="00AE745C"/>
    <w:rsid w:val="00AF16EF"/>
    <w:rsid w:val="00AF2A35"/>
    <w:rsid w:val="00AF39C0"/>
    <w:rsid w:val="00AF3F13"/>
    <w:rsid w:val="00AF62DF"/>
    <w:rsid w:val="00AF6471"/>
    <w:rsid w:val="00AF71DC"/>
    <w:rsid w:val="00AF7CF3"/>
    <w:rsid w:val="00B012FF"/>
    <w:rsid w:val="00B022B2"/>
    <w:rsid w:val="00B02D66"/>
    <w:rsid w:val="00B039A4"/>
    <w:rsid w:val="00B0449D"/>
    <w:rsid w:val="00B063C0"/>
    <w:rsid w:val="00B10371"/>
    <w:rsid w:val="00B12463"/>
    <w:rsid w:val="00B12E31"/>
    <w:rsid w:val="00B12FFF"/>
    <w:rsid w:val="00B13932"/>
    <w:rsid w:val="00B1410C"/>
    <w:rsid w:val="00B144B8"/>
    <w:rsid w:val="00B14CA8"/>
    <w:rsid w:val="00B15B7B"/>
    <w:rsid w:val="00B20DEE"/>
    <w:rsid w:val="00B215A7"/>
    <w:rsid w:val="00B21B23"/>
    <w:rsid w:val="00B22227"/>
    <w:rsid w:val="00B2229B"/>
    <w:rsid w:val="00B2262C"/>
    <w:rsid w:val="00B2447D"/>
    <w:rsid w:val="00B2654F"/>
    <w:rsid w:val="00B27D61"/>
    <w:rsid w:val="00B30BC0"/>
    <w:rsid w:val="00B3132A"/>
    <w:rsid w:val="00B355D6"/>
    <w:rsid w:val="00B36D48"/>
    <w:rsid w:val="00B40133"/>
    <w:rsid w:val="00B41E7A"/>
    <w:rsid w:val="00B42AAB"/>
    <w:rsid w:val="00B434CF"/>
    <w:rsid w:val="00B43B1F"/>
    <w:rsid w:val="00B45BDC"/>
    <w:rsid w:val="00B46ABF"/>
    <w:rsid w:val="00B47CAB"/>
    <w:rsid w:val="00B50021"/>
    <w:rsid w:val="00B50CF4"/>
    <w:rsid w:val="00B5154B"/>
    <w:rsid w:val="00B51806"/>
    <w:rsid w:val="00B52271"/>
    <w:rsid w:val="00B5329A"/>
    <w:rsid w:val="00B53433"/>
    <w:rsid w:val="00B57358"/>
    <w:rsid w:val="00B57E89"/>
    <w:rsid w:val="00B600D9"/>
    <w:rsid w:val="00B603E6"/>
    <w:rsid w:val="00B62D9E"/>
    <w:rsid w:val="00B6394D"/>
    <w:rsid w:val="00B63FBA"/>
    <w:rsid w:val="00B6519A"/>
    <w:rsid w:val="00B663B8"/>
    <w:rsid w:val="00B669C4"/>
    <w:rsid w:val="00B66E0F"/>
    <w:rsid w:val="00B67014"/>
    <w:rsid w:val="00B71665"/>
    <w:rsid w:val="00B71C0B"/>
    <w:rsid w:val="00B72332"/>
    <w:rsid w:val="00B72446"/>
    <w:rsid w:val="00B73FD4"/>
    <w:rsid w:val="00B74693"/>
    <w:rsid w:val="00B74947"/>
    <w:rsid w:val="00B7591E"/>
    <w:rsid w:val="00B75991"/>
    <w:rsid w:val="00B76838"/>
    <w:rsid w:val="00B77D13"/>
    <w:rsid w:val="00B801BF"/>
    <w:rsid w:val="00B810E2"/>
    <w:rsid w:val="00B81BD0"/>
    <w:rsid w:val="00B82794"/>
    <w:rsid w:val="00B82B9C"/>
    <w:rsid w:val="00B82F96"/>
    <w:rsid w:val="00B84CCB"/>
    <w:rsid w:val="00B862AF"/>
    <w:rsid w:val="00B86637"/>
    <w:rsid w:val="00B87E79"/>
    <w:rsid w:val="00B90D97"/>
    <w:rsid w:val="00B91241"/>
    <w:rsid w:val="00B92746"/>
    <w:rsid w:val="00B92D47"/>
    <w:rsid w:val="00B96894"/>
    <w:rsid w:val="00BA06C1"/>
    <w:rsid w:val="00BA0B65"/>
    <w:rsid w:val="00BA1E04"/>
    <w:rsid w:val="00BA1F78"/>
    <w:rsid w:val="00BA54D0"/>
    <w:rsid w:val="00BA6C18"/>
    <w:rsid w:val="00BA6F69"/>
    <w:rsid w:val="00BA6FEF"/>
    <w:rsid w:val="00BB058C"/>
    <w:rsid w:val="00BB24C2"/>
    <w:rsid w:val="00BB30FF"/>
    <w:rsid w:val="00BB360B"/>
    <w:rsid w:val="00BB40F6"/>
    <w:rsid w:val="00BB573E"/>
    <w:rsid w:val="00BB5FE7"/>
    <w:rsid w:val="00BB60B2"/>
    <w:rsid w:val="00BB68A6"/>
    <w:rsid w:val="00BB7001"/>
    <w:rsid w:val="00BB785F"/>
    <w:rsid w:val="00BB7878"/>
    <w:rsid w:val="00BB7D3F"/>
    <w:rsid w:val="00BB7F73"/>
    <w:rsid w:val="00BC05DD"/>
    <w:rsid w:val="00BC1BBF"/>
    <w:rsid w:val="00BC2E39"/>
    <w:rsid w:val="00BC3FB6"/>
    <w:rsid w:val="00BC4BB9"/>
    <w:rsid w:val="00BC5779"/>
    <w:rsid w:val="00BC6076"/>
    <w:rsid w:val="00BC6DA1"/>
    <w:rsid w:val="00BC6E86"/>
    <w:rsid w:val="00BC73F7"/>
    <w:rsid w:val="00BC76FE"/>
    <w:rsid w:val="00BD0C9A"/>
    <w:rsid w:val="00BD18F0"/>
    <w:rsid w:val="00BD30D2"/>
    <w:rsid w:val="00BE1624"/>
    <w:rsid w:val="00BE20AC"/>
    <w:rsid w:val="00BE2E1E"/>
    <w:rsid w:val="00BE3C50"/>
    <w:rsid w:val="00BE3FF4"/>
    <w:rsid w:val="00BE47BD"/>
    <w:rsid w:val="00BE5B52"/>
    <w:rsid w:val="00BE6311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301B"/>
    <w:rsid w:val="00BF43FA"/>
    <w:rsid w:val="00BF6AAD"/>
    <w:rsid w:val="00BF7150"/>
    <w:rsid w:val="00BF72CE"/>
    <w:rsid w:val="00C00FED"/>
    <w:rsid w:val="00C0135E"/>
    <w:rsid w:val="00C01F4F"/>
    <w:rsid w:val="00C025D3"/>
    <w:rsid w:val="00C06AB7"/>
    <w:rsid w:val="00C07170"/>
    <w:rsid w:val="00C077DA"/>
    <w:rsid w:val="00C0788A"/>
    <w:rsid w:val="00C07EBB"/>
    <w:rsid w:val="00C11266"/>
    <w:rsid w:val="00C123A0"/>
    <w:rsid w:val="00C12BC9"/>
    <w:rsid w:val="00C131FA"/>
    <w:rsid w:val="00C13F58"/>
    <w:rsid w:val="00C14571"/>
    <w:rsid w:val="00C1491F"/>
    <w:rsid w:val="00C157D1"/>
    <w:rsid w:val="00C15E22"/>
    <w:rsid w:val="00C16FE2"/>
    <w:rsid w:val="00C20050"/>
    <w:rsid w:val="00C20226"/>
    <w:rsid w:val="00C20BFE"/>
    <w:rsid w:val="00C20E5A"/>
    <w:rsid w:val="00C22E55"/>
    <w:rsid w:val="00C23729"/>
    <w:rsid w:val="00C237D7"/>
    <w:rsid w:val="00C25367"/>
    <w:rsid w:val="00C26844"/>
    <w:rsid w:val="00C2734A"/>
    <w:rsid w:val="00C309B8"/>
    <w:rsid w:val="00C31ABA"/>
    <w:rsid w:val="00C31D0E"/>
    <w:rsid w:val="00C321B7"/>
    <w:rsid w:val="00C32DED"/>
    <w:rsid w:val="00C34184"/>
    <w:rsid w:val="00C34787"/>
    <w:rsid w:val="00C34AC1"/>
    <w:rsid w:val="00C35CAA"/>
    <w:rsid w:val="00C37756"/>
    <w:rsid w:val="00C37AF3"/>
    <w:rsid w:val="00C37B69"/>
    <w:rsid w:val="00C40651"/>
    <w:rsid w:val="00C40CFD"/>
    <w:rsid w:val="00C411FB"/>
    <w:rsid w:val="00C41B46"/>
    <w:rsid w:val="00C41BAB"/>
    <w:rsid w:val="00C41D78"/>
    <w:rsid w:val="00C41E50"/>
    <w:rsid w:val="00C42122"/>
    <w:rsid w:val="00C427B1"/>
    <w:rsid w:val="00C42838"/>
    <w:rsid w:val="00C43371"/>
    <w:rsid w:val="00C45B6B"/>
    <w:rsid w:val="00C4601D"/>
    <w:rsid w:val="00C46235"/>
    <w:rsid w:val="00C47275"/>
    <w:rsid w:val="00C479E2"/>
    <w:rsid w:val="00C50494"/>
    <w:rsid w:val="00C51BC7"/>
    <w:rsid w:val="00C53291"/>
    <w:rsid w:val="00C535A6"/>
    <w:rsid w:val="00C53A70"/>
    <w:rsid w:val="00C549E0"/>
    <w:rsid w:val="00C565D2"/>
    <w:rsid w:val="00C56A3A"/>
    <w:rsid w:val="00C576EA"/>
    <w:rsid w:val="00C57CD2"/>
    <w:rsid w:val="00C603DE"/>
    <w:rsid w:val="00C6164F"/>
    <w:rsid w:val="00C62171"/>
    <w:rsid w:val="00C6348A"/>
    <w:rsid w:val="00C63916"/>
    <w:rsid w:val="00C63FC1"/>
    <w:rsid w:val="00C6406C"/>
    <w:rsid w:val="00C64636"/>
    <w:rsid w:val="00C646AC"/>
    <w:rsid w:val="00C64C5D"/>
    <w:rsid w:val="00C652CE"/>
    <w:rsid w:val="00C6630B"/>
    <w:rsid w:val="00C663B6"/>
    <w:rsid w:val="00C701AF"/>
    <w:rsid w:val="00C7054F"/>
    <w:rsid w:val="00C70D2D"/>
    <w:rsid w:val="00C72651"/>
    <w:rsid w:val="00C72C89"/>
    <w:rsid w:val="00C73B10"/>
    <w:rsid w:val="00C74B05"/>
    <w:rsid w:val="00C75F0D"/>
    <w:rsid w:val="00C75F73"/>
    <w:rsid w:val="00C80520"/>
    <w:rsid w:val="00C80EF3"/>
    <w:rsid w:val="00C81007"/>
    <w:rsid w:val="00C83BDD"/>
    <w:rsid w:val="00C84A12"/>
    <w:rsid w:val="00C85EA2"/>
    <w:rsid w:val="00C86D66"/>
    <w:rsid w:val="00C87E02"/>
    <w:rsid w:val="00C90367"/>
    <w:rsid w:val="00C907BB"/>
    <w:rsid w:val="00C909BF"/>
    <w:rsid w:val="00C9152B"/>
    <w:rsid w:val="00C9246F"/>
    <w:rsid w:val="00C9290A"/>
    <w:rsid w:val="00C93D87"/>
    <w:rsid w:val="00C93DA1"/>
    <w:rsid w:val="00C94C39"/>
    <w:rsid w:val="00C9626E"/>
    <w:rsid w:val="00C97975"/>
    <w:rsid w:val="00CA211C"/>
    <w:rsid w:val="00CA2C46"/>
    <w:rsid w:val="00CA2DC5"/>
    <w:rsid w:val="00CA3070"/>
    <w:rsid w:val="00CA44ED"/>
    <w:rsid w:val="00CA5469"/>
    <w:rsid w:val="00CA6E7C"/>
    <w:rsid w:val="00CA7C68"/>
    <w:rsid w:val="00CA7C77"/>
    <w:rsid w:val="00CB0013"/>
    <w:rsid w:val="00CB01AB"/>
    <w:rsid w:val="00CB04AC"/>
    <w:rsid w:val="00CB0D35"/>
    <w:rsid w:val="00CB1B20"/>
    <w:rsid w:val="00CB1EA7"/>
    <w:rsid w:val="00CB2C84"/>
    <w:rsid w:val="00CB311F"/>
    <w:rsid w:val="00CB3B77"/>
    <w:rsid w:val="00CB407D"/>
    <w:rsid w:val="00CB4560"/>
    <w:rsid w:val="00CB47DE"/>
    <w:rsid w:val="00CB776C"/>
    <w:rsid w:val="00CB7966"/>
    <w:rsid w:val="00CC16C7"/>
    <w:rsid w:val="00CC199B"/>
    <w:rsid w:val="00CC2AAE"/>
    <w:rsid w:val="00CC51BF"/>
    <w:rsid w:val="00CC53C4"/>
    <w:rsid w:val="00CC577F"/>
    <w:rsid w:val="00CC67DD"/>
    <w:rsid w:val="00CC6A54"/>
    <w:rsid w:val="00CC7595"/>
    <w:rsid w:val="00CC7811"/>
    <w:rsid w:val="00CD019B"/>
    <w:rsid w:val="00CD1303"/>
    <w:rsid w:val="00CD16E6"/>
    <w:rsid w:val="00CD1F78"/>
    <w:rsid w:val="00CD3371"/>
    <w:rsid w:val="00CD4B5D"/>
    <w:rsid w:val="00CD68CA"/>
    <w:rsid w:val="00CD699F"/>
    <w:rsid w:val="00CD707C"/>
    <w:rsid w:val="00CD769F"/>
    <w:rsid w:val="00CE0770"/>
    <w:rsid w:val="00CE0D08"/>
    <w:rsid w:val="00CE1254"/>
    <w:rsid w:val="00CE3C0D"/>
    <w:rsid w:val="00CE518B"/>
    <w:rsid w:val="00CE69B5"/>
    <w:rsid w:val="00CE6CFC"/>
    <w:rsid w:val="00CE7444"/>
    <w:rsid w:val="00CF0291"/>
    <w:rsid w:val="00CF0D75"/>
    <w:rsid w:val="00CF162C"/>
    <w:rsid w:val="00CF1DF9"/>
    <w:rsid w:val="00CF4E1E"/>
    <w:rsid w:val="00CF586D"/>
    <w:rsid w:val="00CF5FA3"/>
    <w:rsid w:val="00CF7392"/>
    <w:rsid w:val="00D00156"/>
    <w:rsid w:val="00D004D6"/>
    <w:rsid w:val="00D0057C"/>
    <w:rsid w:val="00D00D24"/>
    <w:rsid w:val="00D0131E"/>
    <w:rsid w:val="00D01C27"/>
    <w:rsid w:val="00D02C61"/>
    <w:rsid w:val="00D0344E"/>
    <w:rsid w:val="00D0409E"/>
    <w:rsid w:val="00D04EE0"/>
    <w:rsid w:val="00D0655B"/>
    <w:rsid w:val="00D06D66"/>
    <w:rsid w:val="00D0711F"/>
    <w:rsid w:val="00D10F1E"/>
    <w:rsid w:val="00D134CD"/>
    <w:rsid w:val="00D14D13"/>
    <w:rsid w:val="00D15C59"/>
    <w:rsid w:val="00D17067"/>
    <w:rsid w:val="00D17EA4"/>
    <w:rsid w:val="00D20419"/>
    <w:rsid w:val="00D20CDA"/>
    <w:rsid w:val="00D21899"/>
    <w:rsid w:val="00D222E7"/>
    <w:rsid w:val="00D2271A"/>
    <w:rsid w:val="00D253F6"/>
    <w:rsid w:val="00D26B12"/>
    <w:rsid w:val="00D26EB8"/>
    <w:rsid w:val="00D27200"/>
    <w:rsid w:val="00D31577"/>
    <w:rsid w:val="00D31748"/>
    <w:rsid w:val="00D3212B"/>
    <w:rsid w:val="00D32131"/>
    <w:rsid w:val="00D322B0"/>
    <w:rsid w:val="00D32FC1"/>
    <w:rsid w:val="00D333BF"/>
    <w:rsid w:val="00D33EDE"/>
    <w:rsid w:val="00D3402D"/>
    <w:rsid w:val="00D34181"/>
    <w:rsid w:val="00D34827"/>
    <w:rsid w:val="00D35983"/>
    <w:rsid w:val="00D3631D"/>
    <w:rsid w:val="00D36486"/>
    <w:rsid w:val="00D4058D"/>
    <w:rsid w:val="00D40A23"/>
    <w:rsid w:val="00D41AE3"/>
    <w:rsid w:val="00D44ED9"/>
    <w:rsid w:val="00D45256"/>
    <w:rsid w:val="00D47D6A"/>
    <w:rsid w:val="00D501DA"/>
    <w:rsid w:val="00D506A3"/>
    <w:rsid w:val="00D50FD4"/>
    <w:rsid w:val="00D51C00"/>
    <w:rsid w:val="00D51E0A"/>
    <w:rsid w:val="00D527AF"/>
    <w:rsid w:val="00D52AB9"/>
    <w:rsid w:val="00D5331F"/>
    <w:rsid w:val="00D5378F"/>
    <w:rsid w:val="00D542E5"/>
    <w:rsid w:val="00D55775"/>
    <w:rsid w:val="00D564C8"/>
    <w:rsid w:val="00D5714E"/>
    <w:rsid w:val="00D57413"/>
    <w:rsid w:val="00D60D35"/>
    <w:rsid w:val="00D61692"/>
    <w:rsid w:val="00D61837"/>
    <w:rsid w:val="00D62029"/>
    <w:rsid w:val="00D64F6E"/>
    <w:rsid w:val="00D64FD3"/>
    <w:rsid w:val="00D66F3C"/>
    <w:rsid w:val="00D67D95"/>
    <w:rsid w:val="00D710FD"/>
    <w:rsid w:val="00D71690"/>
    <w:rsid w:val="00D719A0"/>
    <w:rsid w:val="00D733AC"/>
    <w:rsid w:val="00D737CD"/>
    <w:rsid w:val="00D73AA8"/>
    <w:rsid w:val="00D75F50"/>
    <w:rsid w:val="00D76A94"/>
    <w:rsid w:val="00D7718A"/>
    <w:rsid w:val="00D77F3E"/>
    <w:rsid w:val="00D800B5"/>
    <w:rsid w:val="00D803C1"/>
    <w:rsid w:val="00D80FC5"/>
    <w:rsid w:val="00D834E8"/>
    <w:rsid w:val="00D848EE"/>
    <w:rsid w:val="00D85C94"/>
    <w:rsid w:val="00D85F1E"/>
    <w:rsid w:val="00D8651E"/>
    <w:rsid w:val="00D90D26"/>
    <w:rsid w:val="00D91904"/>
    <w:rsid w:val="00D928AF"/>
    <w:rsid w:val="00D92C91"/>
    <w:rsid w:val="00D94466"/>
    <w:rsid w:val="00D965EE"/>
    <w:rsid w:val="00D96B77"/>
    <w:rsid w:val="00D96CD3"/>
    <w:rsid w:val="00D97C9E"/>
    <w:rsid w:val="00DA1A1F"/>
    <w:rsid w:val="00DA2655"/>
    <w:rsid w:val="00DA2F0A"/>
    <w:rsid w:val="00DA35C2"/>
    <w:rsid w:val="00DA372E"/>
    <w:rsid w:val="00DA3BC4"/>
    <w:rsid w:val="00DA40A3"/>
    <w:rsid w:val="00DA6330"/>
    <w:rsid w:val="00DB0D61"/>
    <w:rsid w:val="00DB2EE2"/>
    <w:rsid w:val="00DB3E5E"/>
    <w:rsid w:val="00DB3FE3"/>
    <w:rsid w:val="00DB4A28"/>
    <w:rsid w:val="00DB51B0"/>
    <w:rsid w:val="00DB55E7"/>
    <w:rsid w:val="00DB561E"/>
    <w:rsid w:val="00DB67E3"/>
    <w:rsid w:val="00DB6B8F"/>
    <w:rsid w:val="00DB6DB6"/>
    <w:rsid w:val="00DB721D"/>
    <w:rsid w:val="00DB7C5D"/>
    <w:rsid w:val="00DC006E"/>
    <w:rsid w:val="00DC0241"/>
    <w:rsid w:val="00DC04AD"/>
    <w:rsid w:val="00DC1184"/>
    <w:rsid w:val="00DC19DD"/>
    <w:rsid w:val="00DC3690"/>
    <w:rsid w:val="00DC3FF1"/>
    <w:rsid w:val="00DC47F3"/>
    <w:rsid w:val="00DC48C0"/>
    <w:rsid w:val="00DC4AD1"/>
    <w:rsid w:val="00DC4EE0"/>
    <w:rsid w:val="00DC6634"/>
    <w:rsid w:val="00DC74BC"/>
    <w:rsid w:val="00DC7E28"/>
    <w:rsid w:val="00DD0300"/>
    <w:rsid w:val="00DD230D"/>
    <w:rsid w:val="00DD2925"/>
    <w:rsid w:val="00DD2C83"/>
    <w:rsid w:val="00DD351E"/>
    <w:rsid w:val="00DD5A8F"/>
    <w:rsid w:val="00DD6AB8"/>
    <w:rsid w:val="00DD6B2D"/>
    <w:rsid w:val="00DD756A"/>
    <w:rsid w:val="00DD75DD"/>
    <w:rsid w:val="00DE0595"/>
    <w:rsid w:val="00DE1A7C"/>
    <w:rsid w:val="00DE2A1F"/>
    <w:rsid w:val="00DE2C31"/>
    <w:rsid w:val="00DE4794"/>
    <w:rsid w:val="00DE47FC"/>
    <w:rsid w:val="00DE495F"/>
    <w:rsid w:val="00DE587D"/>
    <w:rsid w:val="00DE63E8"/>
    <w:rsid w:val="00DE7609"/>
    <w:rsid w:val="00DF1C86"/>
    <w:rsid w:val="00DF1ED1"/>
    <w:rsid w:val="00DF228E"/>
    <w:rsid w:val="00DF2695"/>
    <w:rsid w:val="00DF27B1"/>
    <w:rsid w:val="00DF2AA3"/>
    <w:rsid w:val="00DF2C31"/>
    <w:rsid w:val="00DF4F9D"/>
    <w:rsid w:val="00DF6B9D"/>
    <w:rsid w:val="00E00EA3"/>
    <w:rsid w:val="00E00EAA"/>
    <w:rsid w:val="00E01B04"/>
    <w:rsid w:val="00E01F45"/>
    <w:rsid w:val="00E0269D"/>
    <w:rsid w:val="00E02E82"/>
    <w:rsid w:val="00E03367"/>
    <w:rsid w:val="00E04E50"/>
    <w:rsid w:val="00E0598B"/>
    <w:rsid w:val="00E05C49"/>
    <w:rsid w:val="00E06855"/>
    <w:rsid w:val="00E0706D"/>
    <w:rsid w:val="00E074E4"/>
    <w:rsid w:val="00E07C08"/>
    <w:rsid w:val="00E10677"/>
    <w:rsid w:val="00E1390E"/>
    <w:rsid w:val="00E139E6"/>
    <w:rsid w:val="00E143F2"/>
    <w:rsid w:val="00E14901"/>
    <w:rsid w:val="00E157D0"/>
    <w:rsid w:val="00E16763"/>
    <w:rsid w:val="00E20800"/>
    <w:rsid w:val="00E2133B"/>
    <w:rsid w:val="00E22571"/>
    <w:rsid w:val="00E2307A"/>
    <w:rsid w:val="00E2362B"/>
    <w:rsid w:val="00E237D9"/>
    <w:rsid w:val="00E249A9"/>
    <w:rsid w:val="00E25472"/>
    <w:rsid w:val="00E27F19"/>
    <w:rsid w:val="00E30184"/>
    <w:rsid w:val="00E301CE"/>
    <w:rsid w:val="00E3083C"/>
    <w:rsid w:val="00E30F05"/>
    <w:rsid w:val="00E318AD"/>
    <w:rsid w:val="00E32169"/>
    <w:rsid w:val="00E32881"/>
    <w:rsid w:val="00E328B1"/>
    <w:rsid w:val="00E34692"/>
    <w:rsid w:val="00E34A15"/>
    <w:rsid w:val="00E35767"/>
    <w:rsid w:val="00E35972"/>
    <w:rsid w:val="00E35BCC"/>
    <w:rsid w:val="00E36E18"/>
    <w:rsid w:val="00E37149"/>
    <w:rsid w:val="00E37A47"/>
    <w:rsid w:val="00E40915"/>
    <w:rsid w:val="00E41355"/>
    <w:rsid w:val="00E42290"/>
    <w:rsid w:val="00E43D7A"/>
    <w:rsid w:val="00E44BCC"/>
    <w:rsid w:val="00E44FC4"/>
    <w:rsid w:val="00E453FC"/>
    <w:rsid w:val="00E456CD"/>
    <w:rsid w:val="00E461A4"/>
    <w:rsid w:val="00E4745C"/>
    <w:rsid w:val="00E474C1"/>
    <w:rsid w:val="00E50BCF"/>
    <w:rsid w:val="00E51282"/>
    <w:rsid w:val="00E523EF"/>
    <w:rsid w:val="00E527EE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610"/>
    <w:rsid w:val="00E57695"/>
    <w:rsid w:val="00E57725"/>
    <w:rsid w:val="00E57C4B"/>
    <w:rsid w:val="00E610DC"/>
    <w:rsid w:val="00E62908"/>
    <w:rsid w:val="00E64AA5"/>
    <w:rsid w:val="00E64E93"/>
    <w:rsid w:val="00E660EE"/>
    <w:rsid w:val="00E671BD"/>
    <w:rsid w:val="00E72541"/>
    <w:rsid w:val="00E72808"/>
    <w:rsid w:val="00E72F93"/>
    <w:rsid w:val="00E734B7"/>
    <w:rsid w:val="00E73E27"/>
    <w:rsid w:val="00E75796"/>
    <w:rsid w:val="00E802C5"/>
    <w:rsid w:val="00E8093F"/>
    <w:rsid w:val="00E81A2E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C6C"/>
    <w:rsid w:val="00E87BA7"/>
    <w:rsid w:val="00E9031B"/>
    <w:rsid w:val="00E90B13"/>
    <w:rsid w:val="00E9108B"/>
    <w:rsid w:val="00E91311"/>
    <w:rsid w:val="00E91ED3"/>
    <w:rsid w:val="00E92380"/>
    <w:rsid w:val="00E95A95"/>
    <w:rsid w:val="00E95F4E"/>
    <w:rsid w:val="00E979C0"/>
    <w:rsid w:val="00EA0BE5"/>
    <w:rsid w:val="00EA2D02"/>
    <w:rsid w:val="00EA2FB5"/>
    <w:rsid w:val="00EA43D5"/>
    <w:rsid w:val="00EA5738"/>
    <w:rsid w:val="00EA60A7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6068"/>
    <w:rsid w:val="00EB64B9"/>
    <w:rsid w:val="00EB7CD3"/>
    <w:rsid w:val="00EC0C1D"/>
    <w:rsid w:val="00EC0D33"/>
    <w:rsid w:val="00EC1003"/>
    <w:rsid w:val="00EC3691"/>
    <w:rsid w:val="00EC3842"/>
    <w:rsid w:val="00EC3B14"/>
    <w:rsid w:val="00EC4680"/>
    <w:rsid w:val="00EC6854"/>
    <w:rsid w:val="00EC70BD"/>
    <w:rsid w:val="00ED05BC"/>
    <w:rsid w:val="00ED0E4C"/>
    <w:rsid w:val="00ED21BB"/>
    <w:rsid w:val="00ED2422"/>
    <w:rsid w:val="00ED2988"/>
    <w:rsid w:val="00ED301D"/>
    <w:rsid w:val="00ED3980"/>
    <w:rsid w:val="00ED3FE9"/>
    <w:rsid w:val="00ED4AD3"/>
    <w:rsid w:val="00ED4E43"/>
    <w:rsid w:val="00ED66A9"/>
    <w:rsid w:val="00ED7615"/>
    <w:rsid w:val="00EE0167"/>
    <w:rsid w:val="00EE0860"/>
    <w:rsid w:val="00EE096D"/>
    <w:rsid w:val="00EE0F98"/>
    <w:rsid w:val="00EE2019"/>
    <w:rsid w:val="00EE219A"/>
    <w:rsid w:val="00EE2426"/>
    <w:rsid w:val="00EE337A"/>
    <w:rsid w:val="00EE4F3A"/>
    <w:rsid w:val="00EE5F9C"/>
    <w:rsid w:val="00EE725A"/>
    <w:rsid w:val="00EE7773"/>
    <w:rsid w:val="00EF0EF4"/>
    <w:rsid w:val="00EF3CD5"/>
    <w:rsid w:val="00EF4511"/>
    <w:rsid w:val="00EF490F"/>
    <w:rsid w:val="00EF5EA4"/>
    <w:rsid w:val="00EF668F"/>
    <w:rsid w:val="00EF6766"/>
    <w:rsid w:val="00EF6D1A"/>
    <w:rsid w:val="00EF737D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53FC"/>
    <w:rsid w:val="00F064DC"/>
    <w:rsid w:val="00F076BD"/>
    <w:rsid w:val="00F10750"/>
    <w:rsid w:val="00F10EBC"/>
    <w:rsid w:val="00F1178A"/>
    <w:rsid w:val="00F11F0D"/>
    <w:rsid w:val="00F1270D"/>
    <w:rsid w:val="00F13EE1"/>
    <w:rsid w:val="00F1493B"/>
    <w:rsid w:val="00F16D4D"/>
    <w:rsid w:val="00F176FB"/>
    <w:rsid w:val="00F17E2E"/>
    <w:rsid w:val="00F20B19"/>
    <w:rsid w:val="00F21847"/>
    <w:rsid w:val="00F21D60"/>
    <w:rsid w:val="00F22301"/>
    <w:rsid w:val="00F231BA"/>
    <w:rsid w:val="00F2366D"/>
    <w:rsid w:val="00F24232"/>
    <w:rsid w:val="00F24992"/>
    <w:rsid w:val="00F25012"/>
    <w:rsid w:val="00F2525E"/>
    <w:rsid w:val="00F26EE8"/>
    <w:rsid w:val="00F27924"/>
    <w:rsid w:val="00F3219F"/>
    <w:rsid w:val="00F32946"/>
    <w:rsid w:val="00F32E78"/>
    <w:rsid w:val="00F34299"/>
    <w:rsid w:val="00F36375"/>
    <w:rsid w:val="00F37E59"/>
    <w:rsid w:val="00F37F75"/>
    <w:rsid w:val="00F40003"/>
    <w:rsid w:val="00F409E5"/>
    <w:rsid w:val="00F4195C"/>
    <w:rsid w:val="00F41ABF"/>
    <w:rsid w:val="00F43051"/>
    <w:rsid w:val="00F44108"/>
    <w:rsid w:val="00F4794F"/>
    <w:rsid w:val="00F500C1"/>
    <w:rsid w:val="00F52271"/>
    <w:rsid w:val="00F52987"/>
    <w:rsid w:val="00F54342"/>
    <w:rsid w:val="00F54BF8"/>
    <w:rsid w:val="00F550CB"/>
    <w:rsid w:val="00F55573"/>
    <w:rsid w:val="00F5720E"/>
    <w:rsid w:val="00F5737B"/>
    <w:rsid w:val="00F61509"/>
    <w:rsid w:val="00F619FF"/>
    <w:rsid w:val="00F6365F"/>
    <w:rsid w:val="00F65299"/>
    <w:rsid w:val="00F653CD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EE3"/>
    <w:rsid w:val="00F737D1"/>
    <w:rsid w:val="00F737F3"/>
    <w:rsid w:val="00F73FC6"/>
    <w:rsid w:val="00F74097"/>
    <w:rsid w:val="00F743B0"/>
    <w:rsid w:val="00F80192"/>
    <w:rsid w:val="00F8107E"/>
    <w:rsid w:val="00F81AF7"/>
    <w:rsid w:val="00F81F17"/>
    <w:rsid w:val="00F8300B"/>
    <w:rsid w:val="00F838C5"/>
    <w:rsid w:val="00F83B3C"/>
    <w:rsid w:val="00F8680A"/>
    <w:rsid w:val="00F911BE"/>
    <w:rsid w:val="00F9185B"/>
    <w:rsid w:val="00F92862"/>
    <w:rsid w:val="00F92BD8"/>
    <w:rsid w:val="00F92EB4"/>
    <w:rsid w:val="00F92FB6"/>
    <w:rsid w:val="00F93E6F"/>
    <w:rsid w:val="00F943E3"/>
    <w:rsid w:val="00F94653"/>
    <w:rsid w:val="00F967FC"/>
    <w:rsid w:val="00F96C7B"/>
    <w:rsid w:val="00FA053C"/>
    <w:rsid w:val="00FA0AE5"/>
    <w:rsid w:val="00FA1BE2"/>
    <w:rsid w:val="00FA2AA4"/>
    <w:rsid w:val="00FA3278"/>
    <w:rsid w:val="00FA3780"/>
    <w:rsid w:val="00FA3E67"/>
    <w:rsid w:val="00FB03D2"/>
    <w:rsid w:val="00FB0828"/>
    <w:rsid w:val="00FB33D1"/>
    <w:rsid w:val="00FB3CC6"/>
    <w:rsid w:val="00FB495F"/>
    <w:rsid w:val="00FB54D1"/>
    <w:rsid w:val="00FB55B2"/>
    <w:rsid w:val="00FB6971"/>
    <w:rsid w:val="00FB6B92"/>
    <w:rsid w:val="00FB73F7"/>
    <w:rsid w:val="00FC1555"/>
    <w:rsid w:val="00FC1EDA"/>
    <w:rsid w:val="00FC2E1D"/>
    <w:rsid w:val="00FC39C8"/>
    <w:rsid w:val="00FC3AFD"/>
    <w:rsid w:val="00FC4259"/>
    <w:rsid w:val="00FD004E"/>
    <w:rsid w:val="00FD0116"/>
    <w:rsid w:val="00FD0297"/>
    <w:rsid w:val="00FD06B2"/>
    <w:rsid w:val="00FD0AB9"/>
    <w:rsid w:val="00FD2C51"/>
    <w:rsid w:val="00FD2F04"/>
    <w:rsid w:val="00FD40CE"/>
    <w:rsid w:val="00FD41E4"/>
    <w:rsid w:val="00FD4282"/>
    <w:rsid w:val="00FD6D73"/>
    <w:rsid w:val="00FE0243"/>
    <w:rsid w:val="00FE097A"/>
    <w:rsid w:val="00FE138A"/>
    <w:rsid w:val="00FE28DC"/>
    <w:rsid w:val="00FE3405"/>
    <w:rsid w:val="00FE4291"/>
    <w:rsid w:val="00FE4F9D"/>
    <w:rsid w:val="00FE5A47"/>
    <w:rsid w:val="00FE5CB3"/>
    <w:rsid w:val="00FE6153"/>
    <w:rsid w:val="00FE641C"/>
    <w:rsid w:val="00FE6A48"/>
    <w:rsid w:val="00FE7290"/>
    <w:rsid w:val="00FE76FA"/>
    <w:rsid w:val="00FF0188"/>
    <w:rsid w:val="00FF13A2"/>
    <w:rsid w:val="00FF1463"/>
    <w:rsid w:val="00FF1471"/>
    <w:rsid w:val="00FF2BA5"/>
    <w:rsid w:val="00FF2D0B"/>
    <w:rsid w:val="00FF390E"/>
    <w:rsid w:val="00FF3DED"/>
    <w:rsid w:val="00FF5BDC"/>
    <w:rsid w:val="00FF5D0A"/>
    <w:rsid w:val="00FF614F"/>
    <w:rsid w:val="00FF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99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b/>
      <w:bCs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9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_sirovi%20podaci_2013%2002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Documents%20and%20Settings\olja.tomanovic\My%20Documents\Dropbox\MINISTARSTVO%20FINANSIJA\SEP\02_MMI\MMI%202014\MMI_2014_08\mmi%202014-08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tanko.jeknic\Desktop\MMI%208\mmi%202014-08-1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4-0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ilanka.jovanovic\Desktop\SDI%20grafici\Jan-jun%202013,20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en-US" sz="900"/>
              <a:t>Rast BDP-a u dr</a:t>
            </a:r>
            <a:r>
              <a:rPr lang="x-none" sz="900"/>
              <a:t>u</a:t>
            </a:r>
            <a:r>
              <a:rPr lang="en-US" sz="900"/>
              <a:t>gom kvartalu</a:t>
            </a:r>
          </a:p>
        </c:rich>
      </c:tx>
      <c:overlay val="1"/>
    </c:title>
    <c:plotArea>
      <c:layout>
        <c:manualLayout>
          <c:layoutTarget val="inner"/>
          <c:xMode val="edge"/>
          <c:yMode val="edge"/>
          <c:x val="4.9528659611992952E-2"/>
          <c:y val="0.10060185185185209"/>
          <c:w val="0.87729761904761905"/>
          <c:h val="0.72462561971421291"/>
        </c:manualLayout>
      </c:layout>
      <c:barChart>
        <c:barDir val="bar"/>
        <c:grouping val="clustered"/>
        <c:ser>
          <c:idx val="0"/>
          <c:order val="0"/>
          <c:dLbls>
            <c:dLbl>
              <c:idx val="0"/>
              <c:layout>
                <c:manualLayout>
                  <c:x val="-0.30798015873015888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-0.26878306878306885"/>
                  <c:y val="0"/>
                </c:manualLayout>
              </c:layout>
              <c:showVal val="1"/>
            </c:dLbl>
            <c:dLbl>
              <c:idx val="2"/>
              <c:layout>
                <c:manualLayout>
                  <c:x val="-0.16238977072310387"/>
                  <c:y val="5.3895982327288433E-17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 sz="700"/>
                      <a:t>2,4</a:t>
                    </a:r>
                  </a:p>
                </c:rich>
              </c:tx>
              <c:showVal val="1"/>
            </c:dLbl>
            <c:spPr>
              <a:ln>
                <a:solidFill>
                  <a:schemeClr val="accent1"/>
                </a:solidFill>
              </a:ln>
            </c:spPr>
            <c:txPr>
              <a:bodyPr/>
              <a:lstStyle/>
              <a:p>
                <a:pPr>
                  <a:defRPr lang="sr-Latn-CS" sz="700"/>
                </a:pPr>
                <a:endParaRPr lang="en-US"/>
              </a:p>
            </c:txPr>
            <c:showVal val="1"/>
          </c:dLbls>
          <c:cat>
            <c:strRef>
              <c:f>Sheet1!$E$2:$E$7</c:f>
              <c:strCache>
                <c:ptCount val="6"/>
                <c:pt idx="0">
                  <c:v>Italija </c:v>
                </c:pt>
                <c:pt idx="1">
                  <c:v>Njemačka </c:v>
                </c:pt>
                <c:pt idx="2">
                  <c:v>Francuska</c:v>
                </c:pt>
                <c:pt idx="3">
                  <c:v>Eurozona</c:v>
                </c:pt>
                <c:pt idx="4">
                  <c:v>Holandija </c:v>
                </c:pt>
                <c:pt idx="5">
                  <c:v>Španija </c:v>
                </c:pt>
              </c:strCache>
            </c:strRef>
          </c:cat>
          <c:val>
            <c:numRef>
              <c:f>Sheet1!$F$2:$F$7</c:f>
              <c:numCache>
                <c:formatCode>General</c:formatCode>
                <c:ptCount val="6"/>
                <c:pt idx="0">
                  <c:v>-0.8</c:v>
                </c:pt>
                <c:pt idx="1">
                  <c:v>-0.60000000000000064</c:v>
                </c:pt>
                <c:pt idx="2">
                  <c:v>-0.1</c:v>
                </c:pt>
                <c:pt idx="3">
                  <c:v>0.2</c:v>
                </c:pt>
                <c:pt idx="4">
                  <c:v>2.2000000000000002</c:v>
                </c:pt>
                <c:pt idx="5">
                  <c:v>2.4</c:v>
                </c:pt>
              </c:numCache>
            </c:numRef>
          </c:val>
        </c:ser>
        <c:gapWidth val="60"/>
        <c:axId val="159092096"/>
        <c:axId val="159102464"/>
      </c:barChart>
      <c:catAx>
        <c:axId val="159092096"/>
        <c:scaling>
          <c:orientation val="minMax"/>
        </c:scaling>
        <c:axPos val="l"/>
        <c:tickLblPos val="low"/>
        <c:txPr>
          <a:bodyPr anchor="ctr" anchorCtr="0"/>
          <a:lstStyle/>
          <a:p>
            <a:pPr>
              <a:defRPr lang="sr-Latn-CS" sz="900"/>
            </a:pPr>
            <a:endParaRPr lang="en-US"/>
          </a:p>
        </c:txPr>
        <c:crossAx val="159102464"/>
        <c:crosses val="autoZero"/>
        <c:auto val="1"/>
        <c:lblAlgn val="ctr"/>
        <c:lblOffset val="0"/>
      </c:catAx>
      <c:valAx>
        <c:axId val="159102464"/>
        <c:scaling>
          <c:orientation val="minMax"/>
          <c:max val="2.5"/>
          <c:min val="-1"/>
        </c:scaling>
        <c:axPos val="b"/>
        <c:majorGridlines>
          <c:spPr>
            <a:ln w="6350">
              <a:solidFill>
                <a:schemeClr val="bg1">
                  <a:lumMod val="85000"/>
                </a:schemeClr>
              </a:solidFill>
              <a:prstDash val="sysDot"/>
            </a:ln>
          </c:spPr>
        </c:majorGridlines>
        <c:numFmt formatCode="#,##0.0" sourceLinked="0"/>
        <c:tickLblPos val="nextTo"/>
        <c:spPr>
          <a:ln w="6350">
            <a:solidFill>
              <a:schemeClr val="tx1"/>
            </a:solidFill>
            <a:prstDash val="sysDot"/>
          </a:ln>
        </c:spPr>
        <c:txPr>
          <a:bodyPr/>
          <a:lstStyle/>
          <a:p>
            <a:pPr>
              <a:defRPr lang="sr-Latn-CS" sz="700"/>
            </a:pPr>
            <a:endParaRPr lang="en-US"/>
          </a:p>
        </c:txPr>
        <c:crossAx val="15909209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100"/>
            </a:pPr>
            <a:r>
              <a:rPr lang="en-US" sz="1100"/>
              <a:t>turizam</a:t>
            </a:r>
          </a:p>
        </c:rich>
      </c:tx>
    </c:title>
    <c:plotArea>
      <c:layout>
        <c:manualLayout>
          <c:layoutTarget val="inner"/>
          <c:xMode val="edge"/>
          <c:yMode val="edge"/>
          <c:x val="0.17840860215053791"/>
          <c:y val="0.21742267054904471"/>
          <c:w val="0.75900179211470609"/>
          <c:h val="0.41395645951094362"/>
        </c:manualLayout>
      </c:layout>
      <c:lineChart>
        <c:grouping val="standard"/>
        <c:ser>
          <c:idx val="0"/>
          <c:order val="0"/>
          <c:tx>
            <c:strRef>
              <c:f>'Makroekonomski indikatori'!$C$16</c:f>
              <c:strCache>
                <c:ptCount val="1"/>
                <c:pt idx="0">
                  <c:v>Noćenja turista (stopa rasta)</c:v>
                </c:pt>
              </c:strCache>
            </c:strRef>
          </c:tx>
          <c:spPr>
            <a:ln>
              <a:solidFill>
                <a:srgbClr val="5D2FDD"/>
              </a:solidFill>
            </a:ln>
          </c:spPr>
          <c:marker>
            <c:symbol val="none"/>
          </c:marker>
          <c:cat>
            <c:strRef>
              <c:f>'Makroekonomski indikatori'!$AH$30:$AU$30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2014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indikatori'!$AH$16:$AU$16</c:f>
              <c:numCache>
                <c:formatCode>0.0</c:formatCode>
                <c:ptCount val="13"/>
                <c:pt idx="0">
                  <c:v>-3.6</c:v>
                </c:pt>
                <c:pt idx="1">
                  <c:v>4.3</c:v>
                </c:pt>
                <c:pt idx="2">
                  <c:v>5.6</c:v>
                </c:pt>
                <c:pt idx="3">
                  <c:v>30.3</c:v>
                </c:pt>
                <c:pt idx="4">
                  <c:v>1.1000000000000001</c:v>
                </c:pt>
                <c:pt idx="5">
                  <c:v>22.1</c:v>
                </c:pt>
                <c:pt idx="6">
                  <c:v>2</c:v>
                </c:pt>
                <c:pt idx="7" formatCode="General">
                  <c:v>2.7</c:v>
                </c:pt>
                <c:pt idx="8" formatCode="General">
                  <c:v>5.3</c:v>
                </c:pt>
                <c:pt idx="9" formatCode="General">
                  <c:v>2.1</c:v>
                </c:pt>
                <c:pt idx="10" formatCode="General">
                  <c:v>-4.2</c:v>
                </c:pt>
                <c:pt idx="11" formatCode="General">
                  <c:v>-1.3</c:v>
                </c:pt>
                <c:pt idx="12" formatCode="General">
                  <c:v>0.9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indikatori'!$C$17</c:f>
              <c:strCache>
                <c:ptCount val="1"/>
                <c:pt idx="0">
                  <c:v>Dolasci turista (stopa rasta)</c:v>
                </c:pt>
              </c:strCache>
            </c:strRef>
          </c:tx>
          <c:spPr>
            <a:ln>
              <a:solidFill>
                <a:srgbClr val="29E367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indikatori'!$AH$30:$AU$30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2014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indikatori'!$AH$17:$AU$17</c:f>
              <c:numCache>
                <c:formatCode>0.0</c:formatCode>
                <c:ptCount val="13"/>
                <c:pt idx="0">
                  <c:v>-3.1</c:v>
                </c:pt>
                <c:pt idx="1">
                  <c:v>5.2</c:v>
                </c:pt>
                <c:pt idx="2">
                  <c:v>3.8</c:v>
                </c:pt>
                <c:pt idx="3">
                  <c:v>21.2</c:v>
                </c:pt>
                <c:pt idx="4">
                  <c:v>6.8</c:v>
                </c:pt>
                <c:pt idx="5">
                  <c:v>13.8</c:v>
                </c:pt>
                <c:pt idx="6">
                  <c:v>2.9</c:v>
                </c:pt>
                <c:pt idx="7" formatCode="General">
                  <c:v>6.1</c:v>
                </c:pt>
                <c:pt idx="8" formatCode="General">
                  <c:v>-4.5</c:v>
                </c:pt>
                <c:pt idx="9" formatCode="General">
                  <c:v>11.1</c:v>
                </c:pt>
                <c:pt idx="10" formatCode="General">
                  <c:v>2.4</c:v>
                </c:pt>
                <c:pt idx="11" formatCode="General">
                  <c:v>-0.8</c:v>
                </c:pt>
                <c:pt idx="12" formatCode="General">
                  <c:v>-1.3</c:v>
                </c:pt>
              </c:numCache>
            </c:numRef>
          </c:val>
          <c:smooth val="1"/>
        </c:ser>
        <c:marker val="1"/>
        <c:axId val="158455680"/>
        <c:axId val="158457216"/>
      </c:lineChart>
      <c:catAx>
        <c:axId val="158455680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158457216"/>
        <c:crosses val="autoZero"/>
        <c:auto val="1"/>
        <c:lblAlgn val="ctr"/>
        <c:lblOffset val="100"/>
      </c:catAx>
      <c:valAx>
        <c:axId val="158457216"/>
        <c:scaling>
          <c:orientation val="minMax"/>
          <c:min val="-10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58455680"/>
        <c:crosses val="autoZero"/>
        <c:crossBetween val="between"/>
        <c:majorUnit val="10"/>
      </c:valAx>
    </c:plotArea>
    <c:legend>
      <c:legendPos val="b"/>
      <c:layout>
        <c:manualLayout>
          <c:xMode val="edge"/>
          <c:yMode val="edge"/>
          <c:x val="0.21291263440860375"/>
          <c:y val="0.77807168458782217"/>
          <c:w val="0.53098745519713253"/>
          <c:h val="0.15343833020378644"/>
        </c:manualLayout>
      </c:layout>
      <c:txPr>
        <a:bodyPr/>
        <a:lstStyle/>
        <a:p>
          <a:pPr>
            <a:defRPr lang="sr-Latn-C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900"/>
            </a:pPr>
            <a:r>
              <a:rPr lang="en-US" sz="900"/>
              <a:t>HICP</a:t>
            </a:r>
          </a:p>
        </c:rich>
      </c:tx>
    </c:title>
    <c:plotArea>
      <c:layout>
        <c:manualLayout>
          <c:layoutTarget val="inner"/>
          <c:xMode val="edge"/>
          <c:yMode val="edge"/>
          <c:x val="0.1611111111111112"/>
          <c:y val="0.17630376344086021"/>
          <c:w val="0.77777921595418686"/>
          <c:h val="0.52818996415770558"/>
        </c:manualLayout>
      </c:layout>
      <c:lineChart>
        <c:grouping val="standard"/>
        <c:ser>
          <c:idx val="0"/>
          <c:order val="0"/>
          <c:tx>
            <c:strRef>
              <c:f>'Makroekonomski indikatori'!$C$23</c:f>
              <c:strCache>
                <c:ptCount val="1"/>
                <c:pt idx="0">
                  <c:v>HICP-godišnje stope rasta</c:v>
                </c:pt>
              </c:strCache>
            </c:strRef>
          </c:tx>
          <c:spPr>
            <a:ln>
              <a:solidFill>
                <a:srgbClr val="612FDD"/>
              </a:solidFill>
            </a:ln>
          </c:spPr>
          <c:marker>
            <c:symbol val="none"/>
          </c:marker>
          <c:cat>
            <c:strRef>
              <c:f>'Makroekonomski indikatori'!$AH$30:$AU$30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2014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indikatori'!$AH$23:$AU$23</c:f>
              <c:numCache>
                <c:formatCode>#,##0.0</c:formatCode>
                <c:ptCount val="13"/>
                <c:pt idx="0">
                  <c:v>2.2000000000000002</c:v>
                </c:pt>
                <c:pt idx="1">
                  <c:v>1.7000000000000002</c:v>
                </c:pt>
                <c:pt idx="2">
                  <c:v>1.5</c:v>
                </c:pt>
                <c:pt idx="3">
                  <c:v>0.30000000000000032</c:v>
                </c:pt>
                <c:pt idx="4">
                  <c:v>0</c:v>
                </c:pt>
                <c:pt idx="5">
                  <c:v>0.4</c:v>
                </c:pt>
                <c:pt idx="6" formatCode="General">
                  <c:v>0.1</c:v>
                </c:pt>
                <c:pt idx="7" formatCode="0.0">
                  <c:v>0</c:v>
                </c:pt>
                <c:pt idx="8" formatCode="General">
                  <c:v>-0.4</c:v>
                </c:pt>
                <c:pt idx="9" formatCode="General">
                  <c:v>-0.8</c:v>
                </c:pt>
                <c:pt idx="10" formatCode="General">
                  <c:v>-0.70000000000000062</c:v>
                </c:pt>
                <c:pt idx="11" formatCode="General">
                  <c:v>0.2</c:v>
                </c:pt>
                <c:pt idx="12" formatCode="General">
                  <c:v>-0.9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'Makroekonomski indikatori'!$C$24</c:f>
              <c:strCache>
                <c:ptCount val="1"/>
                <c:pt idx="0">
                  <c:v>cijene hrane</c:v>
                </c:pt>
              </c:strCache>
            </c:strRef>
          </c:tx>
          <c:spPr>
            <a:ln>
              <a:solidFill>
                <a:srgbClr val="50C24A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indikatori'!$AH$30:$AU$30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2014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'Makroekonomski indikatori'!$AH$24:$AU$24</c:f>
              <c:numCache>
                <c:formatCode>0.0</c:formatCode>
                <c:ptCount val="13"/>
                <c:pt idx="0">
                  <c:v>6.2</c:v>
                </c:pt>
                <c:pt idx="1">
                  <c:v>6</c:v>
                </c:pt>
                <c:pt idx="2">
                  <c:v>3.3</c:v>
                </c:pt>
                <c:pt idx="3">
                  <c:v>-0.2</c:v>
                </c:pt>
                <c:pt idx="4">
                  <c:v>-1</c:v>
                </c:pt>
                <c:pt idx="5">
                  <c:v>-0.60000000000000064</c:v>
                </c:pt>
                <c:pt idx="6" formatCode="General">
                  <c:v>-0.9</c:v>
                </c:pt>
                <c:pt idx="7" formatCode="General">
                  <c:v>-1</c:v>
                </c:pt>
                <c:pt idx="8" formatCode="General">
                  <c:v>-1.2</c:v>
                </c:pt>
                <c:pt idx="9" formatCode="General">
                  <c:v>-3.4</c:v>
                </c:pt>
                <c:pt idx="10" formatCode="General">
                  <c:v>-3.4</c:v>
                </c:pt>
                <c:pt idx="11" formatCode="General">
                  <c:v>-1.6</c:v>
                </c:pt>
                <c:pt idx="12" formatCode="General">
                  <c:v>-3.3</c:v>
                </c:pt>
              </c:numCache>
            </c:numRef>
          </c:val>
          <c:smooth val="1"/>
        </c:ser>
        <c:marker val="1"/>
        <c:axId val="158478336"/>
        <c:axId val="158479872"/>
      </c:lineChart>
      <c:catAx>
        <c:axId val="158478336"/>
        <c:scaling>
          <c:orientation val="minMax"/>
        </c:scaling>
        <c:axPos val="b"/>
        <c:tickLblPos val="low"/>
        <c:txPr>
          <a:bodyPr/>
          <a:lstStyle/>
          <a:p>
            <a:pPr>
              <a:defRPr lang="sr-Latn-CS" sz="600"/>
            </a:pPr>
            <a:endParaRPr lang="en-US"/>
          </a:p>
        </c:txPr>
        <c:crossAx val="158479872"/>
        <c:crosses val="autoZero"/>
        <c:auto val="1"/>
        <c:lblAlgn val="ctr"/>
        <c:lblOffset val="100"/>
      </c:catAx>
      <c:valAx>
        <c:axId val="158479872"/>
        <c:scaling>
          <c:orientation val="minMax"/>
        </c:scaling>
        <c:axPos val="l"/>
        <c:numFmt formatCode="#,##0.0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584783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"/>
          <c:y val="0.83839478357674879"/>
          <c:w val="1"/>
          <c:h val="0.12120974368489409"/>
        </c:manualLayout>
      </c:layout>
      <c:txPr>
        <a:bodyPr/>
        <a:lstStyle/>
        <a:p>
          <a:pPr>
            <a:defRPr lang="sr-Latn-CS" sz="600"/>
          </a:pPr>
          <a:endParaRPr lang="en-U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22489989163319649"/>
          <c:y val="7.5757452510597664E-2"/>
          <c:w val="0.57290386776832869"/>
          <c:h val="0.70512943570188913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'Makroekonomski indikatori'!$AG$9:$AT$9</c:f>
              <c:strCache>
                <c:ptCount val="14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2014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  <c:pt idx="13">
                  <c:v>VII</c:v>
                </c:pt>
              </c:strCache>
            </c:strRef>
          </c:cat>
          <c:val>
            <c:numRef>
              <c:f>'Makroekonomski indikatori'!$AG$21:$AT$21</c:f>
              <c:numCache>
                <c:formatCode>#,##0</c:formatCode>
                <c:ptCount val="14"/>
                <c:pt idx="0">
                  <c:v>179861</c:v>
                </c:pt>
                <c:pt idx="1">
                  <c:v>178815</c:v>
                </c:pt>
                <c:pt idx="2">
                  <c:v>176588</c:v>
                </c:pt>
                <c:pt idx="3">
                  <c:v>169044</c:v>
                </c:pt>
                <c:pt idx="4">
                  <c:v>169044</c:v>
                </c:pt>
                <c:pt idx="5">
                  <c:v>167607</c:v>
                </c:pt>
                <c:pt idx="6">
                  <c:v>167173</c:v>
                </c:pt>
                <c:pt idx="7">
                  <c:v>167616</c:v>
                </c:pt>
                <c:pt idx="8">
                  <c:v>168805</c:v>
                </c:pt>
                <c:pt idx="9">
                  <c:v>170177</c:v>
                </c:pt>
                <c:pt idx="10">
                  <c:v>172202</c:v>
                </c:pt>
                <c:pt idx="11">
                  <c:v>174917</c:v>
                </c:pt>
                <c:pt idx="12">
                  <c:v>179774</c:v>
                </c:pt>
                <c:pt idx="13">
                  <c:v>181408</c:v>
                </c:pt>
              </c:numCache>
            </c:numRef>
          </c:val>
        </c:ser>
        <c:marker val="1"/>
        <c:axId val="158534656"/>
        <c:axId val="158544640"/>
      </c:lineChart>
      <c:lineChart>
        <c:grouping val="standard"/>
        <c:ser>
          <c:idx val="1"/>
          <c:order val="1"/>
          <c:spPr>
            <a:ln>
              <a:prstDash val="sysDot"/>
            </a:ln>
          </c:spPr>
          <c:marker>
            <c:symbol val="none"/>
          </c:marker>
          <c:cat>
            <c:strRef>
              <c:f>'Makroekonomski indikatori'!$AG$9:$AT$9</c:f>
              <c:strCache>
                <c:ptCount val="14"/>
                <c:pt idx="0">
                  <c:v>VI</c:v>
                </c:pt>
                <c:pt idx="1">
                  <c:v>VII</c:v>
                </c:pt>
                <c:pt idx="2">
                  <c:v>VIII</c:v>
                </c:pt>
                <c:pt idx="3">
                  <c:v>IX</c:v>
                </c:pt>
                <c:pt idx="4">
                  <c:v>X</c:v>
                </c:pt>
                <c:pt idx="5">
                  <c:v>XI</c:v>
                </c:pt>
                <c:pt idx="6">
                  <c:v>XII</c:v>
                </c:pt>
                <c:pt idx="7">
                  <c:v>2014</c:v>
                </c:pt>
                <c:pt idx="8">
                  <c:v>II</c:v>
                </c:pt>
                <c:pt idx="9">
                  <c:v>III</c:v>
                </c:pt>
                <c:pt idx="10">
                  <c:v>IV</c:v>
                </c:pt>
                <c:pt idx="11">
                  <c:v>V</c:v>
                </c:pt>
                <c:pt idx="12">
                  <c:v>VI</c:v>
                </c:pt>
                <c:pt idx="13">
                  <c:v>VII</c:v>
                </c:pt>
              </c:strCache>
            </c:strRef>
          </c:cat>
          <c:val>
            <c:numRef>
              <c:f>'Makroekonomski indikatori'!$AG$22:$AT$22</c:f>
              <c:numCache>
                <c:formatCode>#,##0</c:formatCode>
                <c:ptCount val="14"/>
                <c:pt idx="0">
                  <c:v>30337</c:v>
                </c:pt>
                <c:pt idx="1">
                  <c:v>30102</c:v>
                </c:pt>
                <c:pt idx="2">
                  <c:v>30947</c:v>
                </c:pt>
                <c:pt idx="3">
                  <c:v>33271</c:v>
                </c:pt>
                <c:pt idx="4">
                  <c:v>33271</c:v>
                </c:pt>
                <c:pt idx="5">
                  <c:v>34680</c:v>
                </c:pt>
                <c:pt idx="6">
                  <c:v>34514</c:v>
                </c:pt>
                <c:pt idx="7">
                  <c:v>34804</c:v>
                </c:pt>
                <c:pt idx="8">
                  <c:v>34664</c:v>
                </c:pt>
                <c:pt idx="9">
                  <c:v>34671</c:v>
                </c:pt>
                <c:pt idx="10">
                  <c:v>33906</c:v>
                </c:pt>
                <c:pt idx="11">
                  <c:v>32763</c:v>
                </c:pt>
                <c:pt idx="12">
                  <c:v>31570</c:v>
                </c:pt>
                <c:pt idx="13">
                  <c:v>31115</c:v>
                </c:pt>
              </c:numCache>
            </c:numRef>
          </c:val>
        </c:ser>
        <c:marker val="1"/>
        <c:axId val="158556928"/>
        <c:axId val="158546560"/>
      </c:lineChart>
      <c:catAx>
        <c:axId val="158534656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58544640"/>
        <c:crosses val="autoZero"/>
        <c:auto val="1"/>
        <c:lblAlgn val="ctr"/>
        <c:lblOffset val="100"/>
      </c:catAx>
      <c:valAx>
        <c:axId val="158544640"/>
        <c:scaling>
          <c:orientation val="minMax"/>
          <c:min val="164000"/>
        </c:scaling>
        <c:axPos val="l"/>
        <c:majorGridlines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58534656"/>
        <c:crosses val="autoZero"/>
        <c:crossBetween val="between"/>
        <c:dispUnits>
          <c:builtInUnit val="thousands"/>
        </c:dispUnits>
      </c:valAx>
      <c:valAx>
        <c:axId val="158546560"/>
        <c:scaling>
          <c:orientation val="maxMin"/>
          <c:max val="35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sr-Latn-CS" sz="700"/>
            </a:pPr>
            <a:endParaRPr lang="en-US"/>
          </a:p>
        </c:txPr>
        <c:crossAx val="158556928"/>
        <c:crosses val="max"/>
        <c:crossBetween val="between"/>
        <c:dispUnits>
          <c:builtInUnit val="thousands"/>
        </c:dispUnits>
      </c:valAx>
      <c:catAx>
        <c:axId val="158556928"/>
        <c:scaling>
          <c:orientation val="minMax"/>
        </c:scaling>
        <c:delete val="1"/>
        <c:axPos val="t"/>
        <c:tickLblPos val="none"/>
        <c:crossAx val="158546560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7523877646207445"/>
          <c:y val="4.1424676898629394E-2"/>
          <c:w val="0.64460499846746366"/>
          <c:h val="0.71317252062959924"/>
        </c:manualLayout>
      </c:layout>
      <c:barChart>
        <c:barDir val="col"/>
        <c:grouping val="clustered"/>
        <c:ser>
          <c:idx val="2"/>
          <c:order val="2"/>
          <c:tx>
            <c:strRef>
              <c:f>'Fiskalni indikatori (4)'!$BF$30</c:f>
              <c:strCache>
                <c:ptCount val="1"/>
                <c:pt idx="0">
                  <c:v>Suficit/Deficit</c:v>
                </c:pt>
              </c:strCache>
            </c:strRef>
          </c:tx>
          <c:spPr>
            <a:solidFill>
              <a:srgbClr val="EEECE1"/>
            </a:solidFill>
            <a:ln>
              <a:solidFill>
                <a:srgbClr val="C00000"/>
              </a:solidFill>
            </a:ln>
          </c:spPr>
          <c:cat>
            <c:strRef>
              <c:f>'Fiskalni indikatori (3)'!$CD$6:$CN$6</c:f>
              <c:strCache>
                <c:ptCount val="11"/>
                <c:pt idx="0">
                  <c:v>III</c:v>
                </c:pt>
                <c:pt idx="1">
                  <c:v>IV</c:v>
                </c:pt>
                <c:pt idx="2">
                  <c:v>V</c:v>
                </c:pt>
                <c:pt idx="3">
                  <c:v>VI</c:v>
                </c:pt>
                <c:pt idx="4">
                  <c:v>VII</c:v>
                </c:pt>
                <c:pt idx="5">
                  <c:v>VIII</c:v>
                </c:pt>
                <c:pt idx="6">
                  <c:v>IX</c:v>
                </c:pt>
                <c:pt idx="7">
                  <c:v>X</c:v>
                </c:pt>
                <c:pt idx="8">
                  <c:v>XI</c:v>
                </c:pt>
                <c:pt idx="9">
                  <c:v>XII</c:v>
                </c:pt>
                <c:pt idx="10">
                  <c:v>I</c:v>
                </c:pt>
              </c:strCache>
            </c:strRef>
          </c:cat>
          <c:val>
            <c:numRef>
              <c:f>'Fiskalni indikatori (4)'!$CK$20:$CW$20</c:f>
              <c:numCache>
                <c:formatCode>0.00,,</c:formatCode>
                <c:ptCount val="13"/>
                <c:pt idx="0">
                  <c:v>-37817120.375714526</c:v>
                </c:pt>
                <c:pt idx="1">
                  <c:v>-16221972.00090231</c:v>
                </c:pt>
                <c:pt idx="2">
                  <c:v>-2657604.3090550057</c:v>
                </c:pt>
                <c:pt idx="3">
                  <c:v>17862496.387521476</c:v>
                </c:pt>
                <c:pt idx="4">
                  <c:v>-2710356.1671831482</c:v>
                </c:pt>
                <c:pt idx="5">
                  <c:v>-7703230.0812701583</c:v>
                </c:pt>
                <c:pt idx="6">
                  <c:v>-23541980.639999989</c:v>
                </c:pt>
                <c:pt idx="7">
                  <c:v>-6801498.5899999607</c:v>
                </c:pt>
                <c:pt idx="8">
                  <c:v>-15174581.920000017</c:v>
                </c:pt>
                <c:pt idx="9">
                  <c:v>-13245329.880000032</c:v>
                </c:pt>
                <c:pt idx="10">
                  <c:v>413809.78000000125</c:v>
                </c:pt>
                <c:pt idx="11">
                  <c:v>-5601575.4311751602</c:v>
                </c:pt>
                <c:pt idx="12">
                  <c:v>19117673.599999979</c:v>
                </c:pt>
              </c:numCache>
            </c:numRef>
          </c:val>
        </c:ser>
        <c:axId val="158649344"/>
        <c:axId val="158647808"/>
      </c:barChart>
      <c:lineChart>
        <c:grouping val="standard"/>
        <c:ser>
          <c:idx val="0"/>
          <c:order val="0"/>
          <c:tx>
            <c:strRef>
              <c:f>'Fiskalni indikatori (4)'!$BF$29</c:f>
              <c:strCache>
                <c:ptCount val="1"/>
                <c:pt idx="0">
                  <c:v>Izdaci budžeta</c:v>
                </c:pt>
              </c:strCache>
            </c:strRef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diamond"/>
            <c:size val="4"/>
            <c:spPr>
              <a:solidFill>
                <a:schemeClr val="tx2">
                  <a:lumMod val="75000"/>
                </a:schemeClr>
              </a:solidFill>
              <a:ln cap="flat">
                <a:solidFill>
                  <a:sysClr val="windowText" lastClr="000000"/>
                </a:solidFill>
                <a:round/>
              </a:ln>
            </c:spPr>
          </c:marker>
          <c:cat>
            <c:strRef>
              <c:f>'Fiskalni indikatori (4)'!$CK$6:$CW$6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'Fiskalni indikatori (4)'!$CK$13:$CW$13</c:f>
              <c:numCache>
                <c:formatCode>0.00,,</c:formatCode>
                <c:ptCount val="13"/>
                <c:pt idx="0">
                  <c:v>160333676.54571453</c:v>
                </c:pt>
                <c:pt idx="1">
                  <c:v>141275399.6509023</c:v>
                </c:pt>
                <c:pt idx="2">
                  <c:v>118999622.08905503</c:v>
                </c:pt>
                <c:pt idx="3">
                  <c:v>99421131.212479636</c:v>
                </c:pt>
                <c:pt idx="4">
                  <c:v>98492109.327183142</c:v>
                </c:pt>
                <c:pt idx="5">
                  <c:v>150132599.31127</c:v>
                </c:pt>
                <c:pt idx="6">
                  <c:v>94324014.019999981</c:v>
                </c:pt>
                <c:pt idx="7">
                  <c:v>88934834.459999964</c:v>
                </c:pt>
                <c:pt idx="8">
                  <c:v>115882745.85000001</c:v>
                </c:pt>
                <c:pt idx="9">
                  <c:v>122329978.45999999</c:v>
                </c:pt>
                <c:pt idx="10">
                  <c:v>101783889</c:v>
                </c:pt>
                <c:pt idx="11">
                  <c:v>115448396.8511752</c:v>
                </c:pt>
                <c:pt idx="12">
                  <c:v>101539267.11</c:v>
                </c:pt>
              </c:numCache>
            </c:numRef>
          </c:val>
          <c:smooth val="1"/>
        </c:ser>
        <c:ser>
          <c:idx val="1"/>
          <c:order val="1"/>
          <c:tx>
            <c:strRef>
              <c:f>'Fiskalni indikatori (4)'!$BF$28</c:f>
              <c:strCache>
                <c:ptCount val="1"/>
                <c:pt idx="0">
                  <c:v>Izvorni prihodi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cat>
            <c:strRef>
              <c:f>'Fiskalni indikatori (4)'!$CK$6:$CW$6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'Fiskalni indikatori (4)'!$CK$7:$CW$7</c:f>
              <c:numCache>
                <c:formatCode>0.00,,</c:formatCode>
                <c:ptCount val="13"/>
                <c:pt idx="0">
                  <c:v>122516556.16999999</c:v>
                </c:pt>
                <c:pt idx="1">
                  <c:v>125053427.64999999</c:v>
                </c:pt>
                <c:pt idx="2">
                  <c:v>116342017.78000002</c:v>
                </c:pt>
                <c:pt idx="3">
                  <c:v>117283627.60000001</c:v>
                </c:pt>
                <c:pt idx="4">
                  <c:v>95781753.159999892</c:v>
                </c:pt>
                <c:pt idx="5">
                  <c:v>142429369.22999999</c:v>
                </c:pt>
                <c:pt idx="6">
                  <c:v>70782033.379999891</c:v>
                </c:pt>
                <c:pt idx="7">
                  <c:v>82133335.86999999</c:v>
                </c:pt>
                <c:pt idx="8">
                  <c:v>100708163.93000002</c:v>
                </c:pt>
                <c:pt idx="9">
                  <c:v>109084648.57999997</c:v>
                </c:pt>
                <c:pt idx="10">
                  <c:v>102197698.78</c:v>
                </c:pt>
                <c:pt idx="11">
                  <c:v>109846821.42</c:v>
                </c:pt>
                <c:pt idx="12">
                  <c:v>120656940.70999998</c:v>
                </c:pt>
              </c:numCache>
            </c:numRef>
          </c:val>
          <c:smooth val="1"/>
        </c:ser>
        <c:marker val="1"/>
        <c:axId val="158615808"/>
        <c:axId val="158646272"/>
      </c:lineChart>
      <c:dateAx>
        <c:axId val="158615808"/>
        <c:scaling>
          <c:orientation val="minMax"/>
        </c:scaling>
        <c:axPos val="b"/>
        <c:numFmt formatCode="#,##0.00" sourceLinked="0"/>
        <c:tickLblPos val="nextTo"/>
        <c:txPr>
          <a:bodyPr/>
          <a:lstStyle/>
          <a:p>
            <a:pPr>
              <a:defRPr lang="sr-Latn-CS" sz="650" baseline="0"/>
            </a:pPr>
            <a:endParaRPr lang="en-US"/>
          </a:p>
        </c:txPr>
        <c:crossAx val="158646272"/>
        <c:crosses val="autoZero"/>
        <c:lblOffset val="100"/>
        <c:baseTimeUnit val="days"/>
      </c:dateAx>
      <c:valAx>
        <c:axId val="158646272"/>
        <c:scaling>
          <c:orientation val="minMax"/>
        </c:scaling>
        <c:axPos val="l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58615808"/>
        <c:crosses val="autoZero"/>
        <c:crossBetween val="between"/>
      </c:valAx>
      <c:valAx>
        <c:axId val="158647808"/>
        <c:scaling>
          <c:orientation val="minMax"/>
          <c:max val="130000000"/>
          <c:min val="-50000000"/>
        </c:scaling>
        <c:axPos val="r"/>
        <c:numFmt formatCode="0.0,," sourceLinked="0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58649344"/>
        <c:crosses val="max"/>
        <c:crossBetween val="between"/>
        <c:majorUnit val="20000000"/>
      </c:valAx>
      <c:catAx>
        <c:axId val="158649344"/>
        <c:scaling>
          <c:orientation val="minMax"/>
        </c:scaling>
        <c:delete val="1"/>
        <c:axPos val="b"/>
        <c:numFmt formatCode="General" sourceLinked="1"/>
        <c:tickLblPos val="none"/>
        <c:crossAx val="158647808"/>
        <c:crosses val="autoZero"/>
        <c:auto val="1"/>
        <c:lblAlgn val="ctr"/>
        <c:lblOffset val="100"/>
      </c:catAx>
      <c:spPr>
        <a:ln>
          <a:solidFill>
            <a:schemeClr val="tx1"/>
          </a:solidFill>
        </a:ln>
      </c:spPr>
    </c:plotArea>
    <c:legend>
      <c:legendPos val="b"/>
      <c:layout>
        <c:manualLayout>
          <c:xMode val="edge"/>
          <c:yMode val="edge"/>
          <c:x val="3.2864326313030795E-2"/>
          <c:y val="0.85542969383267664"/>
          <c:w val="0.82869729686923765"/>
          <c:h val="0.12182025489014146"/>
        </c:manualLayout>
      </c:layout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</c:chart>
  <c:spPr>
    <a:ln w="6350">
      <a:prstDash val="sysDot"/>
    </a:ln>
  </c:spPr>
  <c:txPr>
    <a:bodyPr/>
    <a:lstStyle/>
    <a:p>
      <a:pPr>
        <a:defRPr sz="700" baseline="0"/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/>
            </a:pPr>
            <a:r>
              <a:rPr lang="x-none"/>
              <a:t>kamatni spred,%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v>krediti</c:v>
          </c:tx>
          <c:cat>
            <c:strRef>
              <c:f>'Database za makro'!$AK$9:$AW$9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'Database za makro'!$AK$37:$AW$37</c:f>
              <c:numCache>
                <c:formatCode>0.00</c:formatCode>
                <c:ptCount val="13"/>
                <c:pt idx="0">
                  <c:v>9.3800000000000008</c:v>
                </c:pt>
                <c:pt idx="1">
                  <c:v>9.33</c:v>
                </c:pt>
                <c:pt idx="2">
                  <c:v>9.33</c:v>
                </c:pt>
                <c:pt idx="3">
                  <c:v>9.33</c:v>
                </c:pt>
                <c:pt idx="4">
                  <c:v>9.33</c:v>
                </c:pt>
                <c:pt idx="5">
                  <c:v>9.3600000000000048</c:v>
                </c:pt>
                <c:pt idx="6">
                  <c:v>9.4</c:v>
                </c:pt>
                <c:pt idx="7">
                  <c:v>9.42</c:v>
                </c:pt>
                <c:pt idx="8">
                  <c:v>9.42</c:v>
                </c:pt>
                <c:pt idx="9">
                  <c:v>9.4500000000000028</c:v>
                </c:pt>
                <c:pt idx="10">
                  <c:v>9.51</c:v>
                </c:pt>
                <c:pt idx="11">
                  <c:v>9.5400000000000009</c:v>
                </c:pt>
                <c:pt idx="12">
                  <c:v>9.5500000000000007</c:v>
                </c:pt>
              </c:numCache>
            </c:numRef>
          </c:val>
        </c:ser>
        <c:ser>
          <c:idx val="1"/>
          <c:order val="1"/>
          <c:tx>
            <c:v>depoziti</c:v>
          </c:tx>
          <c:cat>
            <c:strRef>
              <c:f>'Database za makro'!$AK$9:$AW$9</c:f>
              <c:strCache>
                <c:ptCount val="13"/>
                <c:pt idx="0">
                  <c:v>VII</c:v>
                </c:pt>
                <c:pt idx="1">
                  <c:v>VIII</c:v>
                </c:pt>
                <c:pt idx="2">
                  <c:v>IX</c:v>
                </c:pt>
                <c:pt idx="3">
                  <c:v>X</c:v>
                </c:pt>
                <c:pt idx="4">
                  <c:v>XI</c:v>
                </c:pt>
                <c:pt idx="5">
                  <c:v>XII</c:v>
                </c:pt>
                <c:pt idx="6">
                  <c:v>I</c:v>
                </c:pt>
                <c:pt idx="7">
                  <c:v>II</c:v>
                </c:pt>
                <c:pt idx="8">
                  <c:v>III</c:v>
                </c:pt>
                <c:pt idx="9">
                  <c:v>IV</c:v>
                </c:pt>
                <c:pt idx="10">
                  <c:v>V</c:v>
                </c:pt>
                <c:pt idx="11">
                  <c:v>VI</c:v>
                </c:pt>
                <c:pt idx="12">
                  <c:v>VII</c:v>
                </c:pt>
              </c:strCache>
            </c:strRef>
          </c:cat>
          <c:val>
            <c:numRef>
              <c:f>'Database za makro'!$AK$38:$AW$38</c:f>
              <c:numCache>
                <c:formatCode>0.00</c:formatCode>
                <c:ptCount val="13"/>
                <c:pt idx="0">
                  <c:v>2.9299999999999997</c:v>
                </c:pt>
                <c:pt idx="1">
                  <c:v>2.8299999999999987</c:v>
                </c:pt>
                <c:pt idx="2">
                  <c:v>2.67</c:v>
                </c:pt>
                <c:pt idx="3">
                  <c:v>2.67</c:v>
                </c:pt>
                <c:pt idx="4">
                  <c:v>2.6</c:v>
                </c:pt>
                <c:pt idx="5">
                  <c:v>2.5499999999999998</c:v>
                </c:pt>
                <c:pt idx="6">
                  <c:v>2.4099999999999997</c:v>
                </c:pt>
                <c:pt idx="7">
                  <c:v>2.4499999999999997</c:v>
                </c:pt>
                <c:pt idx="8">
                  <c:v>2.34</c:v>
                </c:pt>
                <c:pt idx="9">
                  <c:v>2.3099999999999987</c:v>
                </c:pt>
                <c:pt idx="10">
                  <c:v>2.25</c:v>
                </c:pt>
                <c:pt idx="11">
                  <c:v>2.19</c:v>
                </c:pt>
                <c:pt idx="12">
                  <c:v>2.08</c:v>
                </c:pt>
              </c:numCache>
            </c:numRef>
          </c:val>
        </c:ser>
        <c:gapWidth val="75"/>
        <c:axId val="158949760"/>
        <c:axId val="158951296"/>
      </c:barChart>
      <c:lineChart>
        <c:grouping val="standard"/>
        <c:ser>
          <c:idx val="2"/>
          <c:order val="2"/>
          <c:tx>
            <c:v>spred</c:v>
          </c:tx>
          <c:marker>
            <c:symbol val="none"/>
          </c:marker>
          <c:val>
            <c:numRef>
              <c:f>'Database za makro'!$AK$49:$AW$49</c:f>
              <c:numCache>
                <c:formatCode>0.00</c:formatCode>
                <c:ptCount val="13"/>
                <c:pt idx="0">
                  <c:v>6.45</c:v>
                </c:pt>
                <c:pt idx="1">
                  <c:v>6.5</c:v>
                </c:pt>
                <c:pt idx="2">
                  <c:v>6.6599999999999975</c:v>
                </c:pt>
                <c:pt idx="3">
                  <c:v>6.6599999999999975</c:v>
                </c:pt>
                <c:pt idx="4">
                  <c:v>6.73</c:v>
                </c:pt>
                <c:pt idx="5">
                  <c:v>6.81</c:v>
                </c:pt>
                <c:pt idx="6">
                  <c:v>6.99</c:v>
                </c:pt>
                <c:pt idx="7">
                  <c:v>6.9700000000000024</c:v>
                </c:pt>
                <c:pt idx="8">
                  <c:v>7.08</c:v>
                </c:pt>
                <c:pt idx="9">
                  <c:v>7.14</c:v>
                </c:pt>
                <c:pt idx="10">
                  <c:v>7.26</c:v>
                </c:pt>
                <c:pt idx="11">
                  <c:v>7.35</c:v>
                </c:pt>
                <c:pt idx="12">
                  <c:v>7.4700000000000024</c:v>
                </c:pt>
              </c:numCache>
            </c:numRef>
          </c:val>
        </c:ser>
        <c:marker val="1"/>
        <c:axId val="158949760"/>
        <c:axId val="158951296"/>
      </c:lineChart>
      <c:catAx>
        <c:axId val="158949760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lang="sr-Latn-CS"/>
            </a:pPr>
            <a:endParaRPr lang="en-US"/>
          </a:p>
        </c:txPr>
        <c:crossAx val="158951296"/>
        <c:crosses val="autoZero"/>
        <c:auto val="1"/>
        <c:lblAlgn val="ctr"/>
        <c:lblOffset val="100"/>
      </c:catAx>
      <c:valAx>
        <c:axId val="158951296"/>
        <c:scaling>
          <c:orientation val="minMax"/>
        </c:scaling>
        <c:axPos val="l"/>
        <c:numFmt formatCode="0.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sr-Latn-CS"/>
            </a:pPr>
            <a:endParaRPr lang="en-US"/>
          </a:p>
        </c:txPr>
        <c:crossAx val="158949760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/>
          </a:pPr>
          <a:endParaRPr lang="en-US"/>
        </a:p>
      </c:txPr>
    </c:legend>
    <c:plotVisOnly val="1"/>
    <c:dispBlanksAs val="gap"/>
  </c:chart>
  <c:spPr>
    <a:ln>
      <a:noFill/>
    </a:ln>
  </c:spPr>
  <c:txPr>
    <a:bodyPr/>
    <a:lstStyle/>
    <a:p>
      <a:pPr>
        <a:defRPr sz="800"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sr-Latn-CS" sz="1100"/>
            </a:pPr>
            <a:r>
              <a:rPr lang="en-US" sz="1100"/>
              <a:t>Struktura SDI </a:t>
            </a:r>
            <a:endParaRPr lang="sr-Latn-CS" sz="1100"/>
          </a:p>
          <a:p>
            <a:pPr>
              <a:defRPr lang="sr-Latn-CS" sz="1100"/>
            </a:pPr>
            <a:endParaRPr lang="en-US" sz="1100"/>
          </a:p>
        </c:rich>
      </c:tx>
    </c:title>
    <c:plotArea>
      <c:layout>
        <c:manualLayout>
          <c:layoutTarget val="inner"/>
          <c:xMode val="edge"/>
          <c:yMode val="edge"/>
          <c:x val="0.21108271756267941"/>
          <c:y val="0.31836154627013086"/>
          <c:w val="0.7243064933506006"/>
          <c:h val="0.35956934536279173"/>
        </c:manualLayout>
      </c:layout>
      <c:barChart>
        <c:barDir val="col"/>
        <c:grouping val="clustered"/>
        <c:ser>
          <c:idx val="0"/>
          <c:order val="0"/>
          <c:tx>
            <c:strRef>
              <c:f>'SDI 2013-2014'!$G$29:$G$30</c:f>
              <c:strCache>
                <c:ptCount val="1"/>
                <c:pt idx="0">
                  <c:v>jan-jun 2013</c:v>
                </c:pt>
              </c:strCache>
            </c:strRef>
          </c:tx>
          <c:cat>
            <c:strRef>
              <c:f>'SDI 2013-2014'!$A$31:$A$34</c:f>
              <c:strCache>
                <c:ptCount val="4"/>
                <c:pt idx="0">
                  <c:v>Invest. u komp. i banke</c:v>
                </c:pt>
                <c:pt idx="1">
                  <c:v>Interkompanijski dug</c:v>
                </c:pt>
                <c:pt idx="2">
                  <c:v>Nekretnine</c:v>
                </c:pt>
                <c:pt idx="3">
                  <c:v>Ostalo</c:v>
                </c:pt>
              </c:strCache>
            </c:strRef>
          </c:cat>
          <c:val>
            <c:numRef>
              <c:f>'SDI 2013-2014'!$G$31:$G$34</c:f>
              <c:numCache>
                <c:formatCode>#,##0.0</c:formatCode>
                <c:ptCount val="4"/>
                <c:pt idx="0">
                  <c:v>6680.9</c:v>
                </c:pt>
                <c:pt idx="1">
                  <c:v>98428.6</c:v>
                </c:pt>
                <c:pt idx="2">
                  <c:v>87515</c:v>
                </c:pt>
                <c:pt idx="3">
                  <c:v>7255</c:v>
                </c:pt>
              </c:numCache>
            </c:numRef>
          </c:val>
        </c:ser>
        <c:ser>
          <c:idx val="1"/>
          <c:order val="1"/>
          <c:tx>
            <c:strRef>
              <c:f>'SDI 2013-2014'!$H$29:$H$30</c:f>
              <c:strCache>
                <c:ptCount val="1"/>
                <c:pt idx="0">
                  <c:v>jan-jun 2014</c:v>
                </c:pt>
              </c:strCache>
            </c:strRef>
          </c:tx>
          <c:cat>
            <c:strRef>
              <c:f>'SDI 2013-2014'!$A$31:$A$34</c:f>
              <c:strCache>
                <c:ptCount val="4"/>
                <c:pt idx="0">
                  <c:v>Invest. u komp. i banke</c:v>
                </c:pt>
                <c:pt idx="1">
                  <c:v>Interkompanijski dug</c:v>
                </c:pt>
                <c:pt idx="2">
                  <c:v>Nekretnine</c:v>
                </c:pt>
                <c:pt idx="3">
                  <c:v>Ostalo</c:v>
                </c:pt>
              </c:strCache>
            </c:strRef>
          </c:cat>
          <c:val>
            <c:numRef>
              <c:f>'SDI 2013-2014'!$H$31:$H$34</c:f>
              <c:numCache>
                <c:formatCode>#,##0.0</c:formatCode>
                <c:ptCount val="4"/>
                <c:pt idx="0">
                  <c:v>24649.3</c:v>
                </c:pt>
                <c:pt idx="1">
                  <c:v>115936.4</c:v>
                </c:pt>
                <c:pt idx="2">
                  <c:v>72773.3</c:v>
                </c:pt>
                <c:pt idx="3">
                  <c:v>3788.5</c:v>
                </c:pt>
              </c:numCache>
            </c:numRef>
          </c:val>
        </c:ser>
        <c:axId val="159070464"/>
        <c:axId val="159457280"/>
      </c:barChart>
      <c:catAx>
        <c:axId val="1590704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59457280"/>
        <c:crosses val="autoZero"/>
        <c:auto val="1"/>
        <c:lblAlgn val="ctr"/>
        <c:lblOffset val="100"/>
      </c:catAx>
      <c:valAx>
        <c:axId val="159457280"/>
        <c:scaling>
          <c:orientation val="minMax"/>
        </c:scaling>
        <c:axPos val="l"/>
        <c:numFmt formatCode="#,##0.0" sourceLinked="1"/>
        <c:majorTickMark val="none"/>
        <c:tickLblPos val="nextTo"/>
        <c:txPr>
          <a:bodyPr/>
          <a:lstStyle/>
          <a:p>
            <a:pPr>
              <a:defRPr lang="sr-Latn-CS" sz="600"/>
            </a:pPr>
            <a:endParaRPr lang="en-US"/>
          </a:p>
        </c:txPr>
        <c:crossAx val="159070464"/>
        <c:crosses val="autoZero"/>
        <c:crossBetween val="between"/>
        <c:dispUnits>
          <c:builtInUnit val="thousands"/>
          <c:dispUnitsLbl>
            <c:layout>
              <c:manualLayout>
                <c:xMode val="edge"/>
                <c:yMode val="edge"/>
                <c:x val="3.0695965115178792E-2"/>
                <c:y val="0.41911908323060826"/>
              </c:manualLayout>
            </c:layout>
            <c:tx>
              <c:rich>
                <a:bodyPr/>
                <a:lstStyle/>
                <a:p>
                  <a:pPr>
                    <a:defRPr lang="sr-Latn-CS" sz="700"/>
                  </a:pPr>
                  <a:r>
                    <a:rPr lang="en-US" sz="700"/>
                    <a:t>mil.</a:t>
                  </a:r>
                  <a:r>
                    <a:rPr lang="sr-Latn-CS" sz="700"/>
                    <a:t>€</a:t>
                  </a:r>
                  <a:endParaRPr lang="en-US" sz="700"/>
                </a:p>
              </c:rich>
            </c:tx>
          </c:dispUnitsLbl>
        </c:dispUnits>
      </c:valAx>
    </c:plotArea>
    <c:legend>
      <c:legendPos val="t"/>
      <c:layout>
        <c:manualLayout>
          <c:xMode val="edge"/>
          <c:yMode val="edge"/>
          <c:x val="0.15140871243337437"/>
          <c:y val="0.14326769670869874"/>
          <c:w val="0.69718257513324977"/>
          <c:h val="7.5171508911965376E-2"/>
        </c:manualLayout>
      </c:layout>
      <c:txPr>
        <a:bodyPr/>
        <a:lstStyle/>
        <a:p>
          <a:pPr>
            <a:defRPr lang="sr-Latn-CS" sz="800"/>
          </a:pPr>
          <a:endParaRPr lang="en-US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0.15807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132" y="107545"/>
          <a:ext cx="397170" cy="183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800"/>
            <a:t>broj</a:t>
          </a:r>
          <a:r>
            <a:rPr lang="sr-Latn-CS" sz="800" baseline="0"/>
            <a:t> zaposlenih</a:t>
          </a:r>
          <a:endParaRPr lang="sr-Latn-CS" sz="800"/>
        </a:p>
      </cdr:txBody>
    </cdr:sp>
  </cdr:relSizeAnchor>
  <cdr:relSizeAnchor xmlns:cdr="http://schemas.openxmlformats.org/drawingml/2006/chartDrawing">
    <cdr:from>
      <cdr:x>0.3075</cdr:x>
      <cdr:y>0.65214</cdr:y>
    </cdr:from>
    <cdr:to>
      <cdr:x>0.7603</cdr:x>
      <cdr:y>0.78395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610648" y="1202573"/>
          <a:ext cx="899192" cy="2430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700"/>
            <a:t>broj</a:t>
          </a:r>
          <a:r>
            <a:rPr lang="sr-Latn-CS" sz="700" baseline="0"/>
            <a:t> </a:t>
          </a:r>
          <a:r>
            <a:rPr lang="sr-Latn-CS" sz="800" baseline="0"/>
            <a:t>nezaposlenih</a:t>
          </a:r>
          <a:endParaRPr lang="sr-Latn-CS" sz="8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4F411E-69FA-4B5D-8EBF-DA19BD98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iva.vukovic</cp:lastModifiedBy>
  <cp:revision>2</cp:revision>
  <cp:lastPrinted>2014-09-08T13:18:00Z</cp:lastPrinted>
  <dcterms:created xsi:type="dcterms:W3CDTF">2014-09-10T13:12:00Z</dcterms:created>
  <dcterms:modified xsi:type="dcterms:W3CDTF">2014-09-10T13:12:00Z</dcterms:modified>
</cp:coreProperties>
</file>