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Poštovani tužioče Vučkoviću,</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Cijenjeni eksperti Hausner, Novosel i Sardo, </w:t>
      </w:r>
    </w:p>
    <w:p w:rsidR="004548B1"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Uvažene kolege iz tužilaštva i sudstva, predstavnici civilnog sek</w:t>
      </w:r>
      <w:r w:rsidR="004548B1">
        <w:rPr>
          <w:rFonts w:ascii="Tahoma" w:hAnsi="Tahoma" w:cs="Tahoma"/>
          <w:sz w:val="32"/>
          <w:szCs w:val="32"/>
          <w:lang w:val="it-IT"/>
        </w:rPr>
        <w:t>tora i zainteresovane javnosti,</w:t>
      </w:r>
    </w:p>
    <w:p w:rsidR="00E21577" w:rsidRPr="00CF5EB7" w:rsidRDefault="004548B1" w:rsidP="00E21577">
      <w:pPr>
        <w:pStyle w:val="PlainText"/>
        <w:jc w:val="both"/>
        <w:rPr>
          <w:rFonts w:ascii="Tahoma" w:hAnsi="Tahoma" w:cs="Tahoma"/>
          <w:sz w:val="32"/>
          <w:szCs w:val="32"/>
          <w:lang w:val="it-IT"/>
        </w:rPr>
      </w:pPr>
      <w:r>
        <w:rPr>
          <w:rFonts w:ascii="Tahoma" w:hAnsi="Tahoma" w:cs="Tahoma"/>
          <w:sz w:val="32"/>
          <w:szCs w:val="32"/>
          <w:lang w:val="it-IT"/>
        </w:rPr>
        <w:t>D</w:t>
      </w:r>
      <w:r w:rsidR="00E21577" w:rsidRPr="00CF5EB7">
        <w:rPr>
          <w:rFonts w:ascii="Tahoma" w:hAnsi="Tahoma" w:cs="Tahoma"/>
          <w:sz w:val="32"/>
          <w:szCs w:val="32"/>
          <w:lang w:val="it-IT"/>
        </w:rPr>
        <w:t>ame i gospodo,</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Dobro došli na još jednu u nizu javnih rasprava, koje Ministarstvo pravde organizuje na temu organizacionih zakona u oblasti pravosuđa. Ovoga puta pred nama je Nacrt zakona o Specijalnom tužilaštvu, kao jedan od najznačajnijih zakona u procesu reforme pravosuđa, ali jednako i na planu unaprjeđenja borbe protiv korupcije i organizovanog kriminala. Takođe, jednako važnog zakona za poglavlje „Pravosuđe i temeljna prava“ i poglavlje „Pravda, sloboda i bezbjednost“.</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Na samom početku, želim da istaknem da opredjeljenje za osnivanje Specijalnog tužilaštva nije rezultat potrebe za institucionalnim rješenjima po uzoru na neke zemlje Evropske unije, iako nam je, od samog početka, kao najbliži model poslužio hrvatski USKOK. Razlog je dublji i leži u svim dosadašnjim analizama i ocjenama našeg sistema borbe protiv korupcije i organizovanog kriminala, zaključno sa Analizom racionalizacije pravosudne mreže i Izvještajem o skriningu Evropske komisije za poglavlja 23 i 24.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S organizacionog aspekta, Analiza racionalizacije pravosudne mreže pokazala je potrebu za koncentracijom nadležnosti za gonjenje u predmetima korupcije i organizovanog kriminala pri jednom tužilaštvu; sa funkcionalnog aspekta, u Izvještaju o skriningu </w:t>
      </w:r>
      <w:r w:rsidR="00E24D51">
        <w:rPr>
          <w:rFonts w:ascii="Tahoma" w:hAnsi="Tahoma" w:cs="Tahoma"/>
          <w:sz w:val="32"/>
          <w:szCs w:val="32"/>
          <w:lang w:val="it-IT"/>
        </w:rPr>
        <w:t xml:space="preserve">konstatuje se da postoji </w:t>
      </w:r>
      <w:r w:rsidRPr="00CF5EB7">
        <w:rPr>
          <w:rFonts w:ascii="Tahoma" w:hAnsi="Tahoma" w:cs="Tahoma"/>
          <w:sz w:val="32"/>
          <w:szCs w:val="32"/>
          <w:lang w:val="it-IT"/>
        </w:rPr>
        <w:t xml:space="preserve">jaz u koordinaciji između organa za sprovođenje zakona. Zbog toga smo u Strategiji reforme pravosuđa zacrtali formiranje specijalnog državnog tužilaštva za borbu protiv organizovanog kriminala i korupcije u </w:t>
      </w:r>
      <w:r w:rsidRPr="00CF5EB7">
        <w:rPr>
          <w:rFonts w:ascii="Tahoma" w:hAnsi="Tahoma" w:cs="Tahoma"/>
          <w:sz w:val="32"/>
          <w:szCs w:val="32"/>
          <w:lang w:val="it-IT"/>
        </w:rPr>
        <w:lastRenderedPageBreak/>
        <w:t>okviru tužilačke organizacije, s posebnim aspektom na predmete korupcije na visokom nivou. Ovo specijalno tužilaštvo pratiće nadležnost za suđenje, koje će biti centralizovano pri jednom specijalizovanom odjeljenju Višeg suda u Podgorici.</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Shodno tome, akcionim planovima za poglavlja 23 i 24, kao jedna od mjera za uspostavljanje nezavisnih, djelotvornih i specijalizovanih organa za borbu protiv korupcije i organizovanog kriminala, predviđeno je donošenje Zakona o Specijalnom državnom tužilaštvu i formiranje Specijalnog državnog tužilaštva.</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U izradi nacrta zakona radni tim je koristio rješenja koja su primijenile zemlje članice EU: najprije Hrvatska, zatim Italija, Slovenija, Rumunija, Litvanija i Bugarska.</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Nacrtom zakona predviđeno je da će se u policiji obrazovati posebna organizaciona jedinica za saradnju sa Specijalnim državnim tužilaštvom, čiji će službenici postupati po nalogu specijalnog tužioca. Takođe, nacrtom zakona se daje mogućnost upućivanja lica iz organa uprave na rad u Specijalno državno tužilaštvo na određeno vrijeme, a najduže jednu godinu. Radi istraživanja posebno složenih predmeta iz nadležnosti Specijalnog državnog tužilastva starješine Uprave policije, Poreske uprave, Uprave carina, Uprave za sprječavanje pranja novca i finansiranja terorizma i Uprave za nekretnine mogu uputiti na rad u Specijalno državno tužilastvo po jedno lice na vrijeme od tri godine, tzv. Specijalni istražni tim. Nacrt zakona predviđa i mogućnost formiranja istražnog tima u konkretnom predmetu.</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Na sugestiju Evropske komisije, set organizacionih zakona iz oblasti pravosuđa dostavljen je</w:t>
      </w:r>
      <w:r w:rsidR="004548B1">
        <w:rPr>
          <w:rFonts w:ascii="Tahoma" w:hAnsi="Tahoma" w:cs="Tahoma"/>
          <w:sz w:val="32"/>
          <w:szCs w:val="32"/>
          <w:lang w:val="it-IT"/>
        </w:rPr>
        <w:t xml:space="preserve"> već</w:t>
      </w:r>
      <w:r w:rsidRPr="00CF5EB7">
        <w:rPr>
          <w:rFonts w:ascii="Tahoma" w:hAnsi="Tahoma" w:cs="Tahoma"/>
          <w:sz w:val="32"/>
          <w:szCs w:val="32"/>
          <w:lang w:val="it-IT"/>
        </w:rPr>
        <w:t xml:space="preserve"> na mišljenje Venecijanskoj komisiji, uključujući i Nacrt zakona o Specijalnom tužilaštvu, koji je dostavljen</w:t>
      </w:r>
      <w:r w:rsidR="00A91DBA">
        <w:rPr>
          <w:rFonts w:ascii="Tahoma" w:hAnsi="Tahoma" w:cs="Tahoma"/>
          <w:sz w:val="32"/>
          <w:szCs w:val="32"/>
          <w:lang w:val="it-IT"/>
        </w:rPr>
        <w:t xml:space="preserve"> takođe</w:t>
      </w:r>
      <w:r w:rsidRPr="00CF5EB7">
        <w:rPr>
          <w:rFonts w:ascii="Tahoma" w:hAnsi="Tahoma" w:cs="Tahoma"/>
          <w:sz w:val="32"/>
          <w:szCs w:val="32"/>
          <w:lang w:val="it-IT"/>
        </w:rPr>
        <w:t xml:space="preserve"> na zahtjev Venecijanske komisije, što </w:t>
      </w:r>
      <w:r w:rsidRPr="00CF5EB7">
        <w:rPr>
          <w:rFonts w:ascii="Tahoma" w:hAnsi="Tahoma" w:cs="Tahoma"/>
          <w:sz w:val="32"/>
          <w:szCs w:val="32"/>
          <w:lang w:val="it-IT"/>
        </w:rPr>
        <w:lastRenderedPageBreak/>
        <w:t>dodatno govori o njegovom značaju i mjestu u pravnom sistemu Crne Gore. Koristim ovu priliku da obavijestim javnost da će davanje mišljenja VK, kao neplanirana faza u procesu donošenja ovih zakona, značiti probijanje rokova iz akcionih planova i Programa rada Vlade za 2014. godinu. Međutim, i mi i naši partneri u Evropskoj komisiji stava smo da i ovog puta treba dati prednost „kvalitetu prije brzine“.</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Dame i gospodo,</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Dozvolite mi da ponovim: Crna Gora ima problem sa korupcijom i organizovanim kriminalom. U borbi protiv ovih problema, Crnoj Gori treba snažna udarna pesnica u vidu specijalnog tužilaštva, kadrovski i tehnički sposobnog da proaktivno cilja na sve pojavne oblike korupcije i organizovanog kriminala. Nakon donošenja zakona, slijedi ekipiranje Specijalnog tužilašt</w:t>
      </w:r>
      <w:r w:rsidR="00A91DBA">
        <w:rPr>
          <w:rFonts w:ascii="Tahoma" w:hAnsi="Tahoma" w:cs="Tahoma"/>
          <w:sz w:val="32"/>
          <w:szCs w:val="32"/>
          <w:lang w:val="it-IT"/>
        </w:rPr>
        <w:t xml:space="preserve">va, jačanje njegovih prostornih </w:t>
      </w:r>
      <w:r w:rsidRPr="00CF5EB7">
        <w:rPr>
          <w:rFonts w:ascii="Tahoma" w:hAnsi="Tahoma" w:cs="Tahoma"/>
          <w:sz w:val="32"/>
          <w:szCs w:val="32"/>
          <w:lang w:val="it-IT"/>
        </w:rPr>
        <w:t xml:space="preserve">i tehničkih kapaciteta, uvođenje posebnog informacionog sistema, formiranje prateće jedinice u Upravi policije, kao i osposobljavanje kadra za rad sa Specijalnim tužilaštvom u ostalim agencijama za sprovođenje zakona.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Želim ovdje da skrenem vašu pažnju ovom segmentu -  ključnom da Zakoni, pa i ovaj, doprinose rezultatima. Dakle sposoban, obučen i motivisan kadar je ključ uspje</w:t>
      </w:r>
      <w:r w:rsidR="00A91DBA">
        <w:rPr>
          <w:rFonts w:ascii="Tahoma" w:hAnsi="Tahoma" w:cs="Tahoma"/>
          <w:sz w:val="32"/>
          <w:szCs w:val="32"/>
          <w:lang w:val="it-IT"/>
        </w:rPr>
        <w:t>ha u borbi protiv kriminala. Naš</w:t>
      </w:r>
      <w:r w:rsidRPr="00CF5EB7">
        <w:rPr>
          <w:rFonts w:ascii="Tahoma" w:hAnsi="Tahoma" w:cs="Tahoma"/>
          <w:sz w:val="32"/>
          <w:szCs w:val="32"/>
          <w:lang w:val="it-IT"/>
        </w:rPr>
        <w:t>i tužioci i policajci moraju razumjeti opasnosti i rizike po državu i društvo koje kriminal nosi u ovovremenim bezbjedonosnim prijetnjama. Formalizam, činovnički pristup, profesionalna distanca i sujeta, rad samo u radno vrijeme stavljaju nas u podređeni položaj u odnosu na n</w:t>
      </w:r>
      <w:r w:rsidR="00C133F5">
        <w:rPr>
          <w:rFonts w:ascii="Tahoma" w:hAnsi="Tahoma" w:cs="Tahoma"/>
          <w:sz w:val="32"/>
          <w:szCs w:val="32"/>
          <w:lang w:val="it-IT"/>
        </w:rPr>
        <w:t xml:space="preserve">osioce organizovanog kriminala. </w:t>
      </w:r>
      <w:r w:rsidRPr="00CF5EB7">
        <w:rPr>
          <w:rFonts w:ascii="Tahoma" w:hAnsi="Tahoma" w:cs="Tahoma"/>
          <w:sz w:val="32"/>
          <w:szCs w:val="32"/>
          <w:lang w:val="it-IT"/>
        </w:rPr>
        <w:t>Vjerujem da će koncipiranje personalnog sastava budućeg specijalnog tužilaštva biti prilagođeno urgentnim potrebama države i društva, stabilnosti i sigurnosti građana, dru</w:t>
      </w:r>
      <w:r w:rsidR="004548B1">
        <w:rPr>
          <w:rFonts w:ascii="Tahoma" w:hAnsi="Tahoma" w:cs="Tahoma"/>
          <w:sz w:val="32"/>
          <w:szCs w:val="32"/>
          <w:lang w:val="it-IT"/>
        </w:rPr>
        <w:t>štva u kojem kriminalci neće moć</w:t>
      </w:r>
      <w:r w:rsidRPr="00CF5EB7">
        <w:rPr>
          <w:rFonts w:ascii="Tahoma" w:hAnsi="Tahoma" w:cs="Tahoma"/>
          <w:sz w:val="32"/>
          <w:szCs w:val="32"/>
          <w:lang w:val="it-IT"/>
        </w:rPr>
        <w:t xml:space="preserve">i činiti </w:t>
      </w:r>
      <w:r w:rsidRPr="00CF5EB7">
        <w:rPr>
          <w:rFonts w:ascii="Tahoma" w:hAnsi="Tahoma" w:cs="Tahoma"/>
          <w:sz w:val="32"/>
          <w:szCs w:val="32"/>
          <w:lang w:val="it-IT"/>
        </w:rPr>
        <w:lastRenderedPageBreak/>
        <w:t>institucije nemoć</w:t>
      </w:r>
      <w:r w:rsidR="004548B1">
        <w:rPr>
          <w:rFonts w:ascii="Tahoma" w:hAnsi="Tahoma" w:cs="Tahoma"/>
          <w:sz w:val="32"/>
          <w:szCs w:val="32"/>
          <w:lang w:val="it-IT"/>
        </w:rPr>
        <w:t>nim kako to u posljednje vrijeme</w:t>
      </w:r>
      <w:r w:rsidRPr="00CF5EB7">
        <w:rPr>
          <w:rFonts w:ascii="Tahoma" w:hAnsi="Tahoma" w:cs="Tahoma"/>
          <w:sz w:val="32"/>
          <w:szCs w:val="32"/>
          <w:lang w:val="it-IT"/>
        </w:rPr>
        <w:t xml:space="preserve"> i u nekim prilikama djeluje.</w:t>
      </w:r>
    </w:p>
    <w:p w:rsidR="00E21577" w:rsidRPr="00CF5EB7" w:rsidRDefault="00E21577" w:rsidP="00E21577">
      <w:pPr>
        <w:pStyle w:val="PlainText"/>
        <w:jc w:val="both"/>
        <w:rPr>
          <w:rFonts w:ascii="Tahoma" w:hAnsi="Tahoma" w:cs="Tahoma"/>
          <w:sz w:val="32"/>
          <w:szCs w:val="32"/>
          <w:lang w:val="it-IT"/>
        </w:rPr>
      </w:pP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Uvjeren sam da nacrt zakona koji je pred nama predstavlja kvalitetnu polaznu osnovu za zakonsko regulisanje pozicije, nadležnosti i funkcije Specijalnog tužilaštva u sistemu jedinstvene tužilačke organizacije, i šire, u ukupnom pravosudnom i institucionalnom sistemu Crne Gore.</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 </w:t>
      </w:r>
    </w:p>
    <w:p w:rsidR="00E21577" w:rsidRPr="00CF5EB7" w:rsidRDefault="004548B1" w:rsidP="00E21577">
      <w:pPr>
        <w:pStyle w:val="PlainText"/>
        <w:jc w:val="both"/>
        <w:rPr>
          <w:rFonts w:ascii="Tahoma" w:hAnsi="Tahoma" w:cs="Tahoma"/>
          <w:sz w:val="32"/>
          <w:szCs w:val="32"/>
          <w:lang w:val="it-IT"/>
        </w:rPr>
      </w:pPr>
      <w:r>
        <w:rPr>
          <w:rFonts w:ascii="Tahoma" w:hAnsi="Tahoma" w:cs="Tahoma"/>
          <w:sz w:val="32"/>
          <w:szCs w:val="32"/>
          <w:lang w:val="it-IT"/>
        </w:rPr>
        <w:t>Na tome želim da zahvalim našoj</w:t>
      </w:r>
      <w:r w:rsidR="00E21577" w:rsidRPr="00CF5EB7">
        <w:rPr>
          <w:rFonts w:ascii="Tahoma" w:hAnsi="Tahoma" w:cs="Tahoma"/>
          <w:sz w:val="32"/>
          <w:szCs w:val="32"/>
          <w:lang w:val="it-IT"/>
        </w:rPr>
        <w:t xml:space="preserve"> radnoj grupi, saradnicima i ekspertima Evropske komisije na pripremi Nacrta zakona, ali i svima vama koji ćete svojim preporukama i komentarima doprinijeti kvalitetu Zakona o specijalnom tužilaštvu.  </w:t>
      </w:r>
    </w:p>
    <w:p w:rsidR="00E21577" w:rsidRPr="00CF5EB7" w:rsidRDefault="00E21577" w:rsidP="00E21577">
      <w:pPr>
        <w:pStyle w:val="PlainText"/>
        <w:jc w:val="both"/>
        <w:rPr>
          <w:rFonts w:ascii="Tahoma" w:hAnsi="Tahoma" w:cs="Tahoma"/>
          <w:sz w:val="32"/>
          <w:szCs w:val="32"/>
          <w:lang w:val="it-IT"/>
        </w:rPr>
      </w:pPr>
      <w:r w:rsidRPr="00CF5EB7">
        <w:rPr>
          <w:rFonts w:ascii="Tahoma" w:hAnsi="Tahoma" w:cs="Tahoma"/>
          <w:sz w:val="32"/>
          <w:szCs w:val="32"/>
          <w:lang w:val="it-IT"/>
        </w:rPr>
        <w:t xml:space="preserve"> </w:t>
      </w:r>
    </w:p>
    <w:p w:rsidR="00E21577" w:rsidRPr="00CF5EB7" w:rsidRDefault="004548B1" w:rsidP="00E21577">
      <w:pPr>
        <w:pStyle w:val="PlainText"/>
        <w:jc w:val="both"/>
        <w:rPr>
          <w:rFonts w:ascii="Tahoma" w:hAnsi="Tahoma" w:cs="Tahoma"/>
          <w:sz w:val="32"/>
          <w:szCs w:val="32"/>
        </w:rPr>
      </w:pPr>
      <w:r>
        <w:rPr>
          <w:rFonts w:ascii="Tahoma" w:hAnsi="Tahoma" w:cs="Tahoma"/>
          <w:sz w:val="32"/>
          <w:szCs w:val="32"/>
        </w:rPr>
        <w:t>Zahvaljujem se na pažnji!</w:t>
      </w:r>
    </w:p>
    <w:p w:rsidR="00B64B90" w:rsidRPr="00E21577" w:rsidRDefault="00B64B90" w:rsidP="00E21577"/>
    <w:sectPr w:rsidR="00B64B90" w:rsidRPr="00E21577" w:rsidSect="00B64B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1577"/>
    <w:rsid w:val="00406DC9"/>
    <w:rsid w:val="004548B1"/>
    <w:rsid w:val="00511F96"/>
    <w:rsid w:val="007B450A"/>
    <w:rsid w:val="008A266F"/>
    <w:rsid w:val="00A250B8"/>
    <w:rsid w:val="00A84C5E"/>
    <w:rsid w:val="00A91DBA"/>
    <w:rsid w:val="00B64B90"/>
    <w:rsid w:val="00C0243C"/>
    <w:rsid w:val="00C133F5"/>
    <w:rsid w:val="00CE4268"/>
    <w:rsid w:val="00CF5EB7"/>
    <w:rsid w:val="00E21577"/>
    <w:rsid w:val="00E24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B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215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2157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3005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888</Words>
  <Characters>4913</Characters>
  <Application>Microsoft Office Word</Application>
  <DocSecurity>0</DocSecurity>
  <Lines>63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j.scekic</dc:creator>
  <cp:lastModifiedBy>natasa.vukadinovic</cp:lastModifiedBy>
  <cp:revision>6</cp:revision>
  <cp:lastPrinted>2014-09-22T06:55:00Z</cp:lastPrinted>
  <dcterms:created xsi:type="dcterms:W3CDTF">2014-09-22T06:48:00Z</dcterms:created>
  <dcterms:modified xsi:type="dcterms:W3CDTF">2014-09-22T10:43:00Z</dcterms:modified>
</cp:coreProperties>
</file>