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2AD5" w14:textId="07D3F8D7" w:rsidR="009857B8" w:rsidRPr="00FA6F3F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12DFE7" wp14:editId="2824634E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99EB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709B71D4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166AC290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18B6BB33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  <w:p w14:paraId="35383F70" w14:textId="77777777" w:rsidR="009857B8" w:rsidRPr="000907F8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857B8"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gov.me/mek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2D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2E899EB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709B71D4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166AC290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18B6BB33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58</w:t>
                      </w:r>
                    </w:p>
                    <w:p w14:paraId="35383F70" w14:textId="77777777" w:rsidR="009857B8" w:rsidRPr="000907F8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9857B8"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gov.me/mek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27EA1" wp14:editId="55C0B16A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FA6F3F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C6321EC" wp14:editId="62194295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FA6F3F">
        <w:rPr>
          <w:rFonts w:ascii="Arial" w:hAnsi="Arial" w:cs="Arial"/>
          <w:sz w:val="22"/>
          <w:szCs w:val="22"/>
        </w:rPr>
        <w:t>Crna Gora</w:t>
      </w:r>
    </w:p>
    <w:p w14:paraId="3347EFFE" w14:textId="7FE79FFB" w:rsidR="009857B8" w:rsidRPr="00FA6F3F" w:rsidRDefault="004A531D" w:rsidP="004A531D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w:t xml:space="preserve">                 </w:t>
      </w:r>
      <w:r w:rsidR="00C17842" w:rsidRPr="00FA6F3F">
        <w:rPr>
          <w:rFonts w:ascii="Arial" w:hAnsi="Arial" w:cs="Arial"/>
          <w:sz w:val="22"/>
          <w:szCs w:val="22"/>
        </w:rPr>
        <w:t xml:space="preserve">      </w:t>
      </w:r>
      <w:r w:rsidR="009857B8" w:rsidRPr="00FA6F3F">
        <w:rPr>
          <w:rFonts w:ascii="Arial" w:hAnsi="Arial" w:cs="Arial"/>
          <w:sz w:val="22"/>
          <w:szCs w:val="22"/>
        </w:rPr>
        <w:t>Ministarstvo ekon</w:t>
      </w:r>
      <w:r w:rsidR="00B544B2" w:rsidRPr="00FA6F3F">
        <w:rPr>
          <w:rFonts w:ascii="Arial" w:hAnsi="Arial" w:cs="Arial"/>
          <w:sz w:val="22"/>
          <w:szCs w:val="22"/>
        </w:rPr>
        <w:t>omskog razvoja</w:t>
      </w:r>
      <w:r w:rsidR="00D940A7">
        <w:rPr>
          <w:rFonts w:ascii="Arial" w:hAnsi="Arial" w:cs="Arial"/>
          <w:sz w:val="22"/>
          <w:szCs w:val="22"/>
        </w:rPr>
        <w:t xml:space="preserve"> i turizma</w:t>
      </w:r>
    </w:p>
    <w:p w14:paraId="69CEA91B" w14:textId="77777777" w:rsidR="00490B0C" w:rsidRPr="00FA6F3F" w:rsidRDefault="00376E7D" w:rsidP="00BB0182">
      <w:pPr>
        <w:pStyle w:val="Heading1"/>
        <w:spacing w:line="276" w:lineRule="auto"/>
        <w:rPr>
          <w:sz w:val="22"/>
        </w:rPr>
      </w:pPr>
      <w:r w:rsidRPr="00FA6F3F">
        <w:rPr>
          <w:sz w:val="22"/>
        </w:rPr>
        <w:t>Služba za pravne</w:t>
      </w:r>
      <w:r w:rsidR="003B4482" w:rsidRPr="00FA6F3F">
        <w:rPr>
          <w:sz w:val="22"/>
        </w:rPr>
        <w:t xml:space="preserve"> poslove,</w:t>
      </w:r>
      <w:r w:rsidR="00E7104B" w:rsidRPr="00FA6F3F">
        <w:rPr>
          <w:sz w:val="22"/>
        </w:rPr>
        <w:t xml:space="preserve"> finansije</w:t>
      </w:r>
      <w:r w:rsidR="003B4482" w:rsidRPr="00FA6F3F">
        <w:rPr>
          <w:sz w:val="22"/>
        </w:rPr>
        <w:t xml:space="preserve"> i tehničku podršku</w:t>
      </w:r>
      <w:r w:rsidR="000F2BFC" w:rsidRPr="00FA6F3F">
        <w:rPr>
          <w:sz w:val="22"/>
        </w:rPr>
        <w:tab/>
      </w:r>
    </w:p>
    <w:p w14:paraId="383A55BD" w14:textId="77777777" w:rsidR="004F7F52" w:rsidRPr="00FA6F3F" w:rsidRDefault="004F7F52" w:rsidP="004F7F52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14:paraId="6CF679D4" w14:textId="77777777" w:rsidR="004A531D" w:rsidRPr="00FA6F3F" w:rsidRDefault="004A531D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5C0E7DB5" w14:textId="650E9A6A" w:rsidR="004A531D" w:rsidRPr="009E3527" w:rsidRDefault="0036697B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</w:rPr>
      </w:pPr>
      <w:bookmarkStart w:id="0" w:name="_Hlk96343038"/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Broj: 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5782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                                              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</w:t>
      </w:r>
      <w:r w:rsidR="009E3527">
        <w:rPr>
          <w:rFonts w:ascii="Arial" w:hAnsi="Arial" w:cs="Arial"/>
          <w:bCs/>
          <w:color w:val="000000" w:themeColor="text1"/>
          <w:sz w:val="22"/>
          <w:lang w:val="hr-HR"/>
        </w:rPr>
        <w:t>22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09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.godine</w:t>
      </w:r>
    </w:p>
    <w:bookmarkEnd w:id="0"/>
    <w:p w14:paraId="18E932D1" w14:textId="77777777" w:rsidR="008A4578" w:rsidRPr="00FA6F3F" w:rsidRDefault="008A4578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67C30122" w14:textId="39588E0D" w:rsidR="00CC6AA8" w:rsidRDefault="00CC6AA8" w:rsidP="00CC6AA8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Zakona o upravnom postupku („Službeni list CG“, br. 56/14, 20/15, 40/16 i 37/17), </w:t>
      </w:r>
      <w:r w:rsidRPr="00D940A7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541A0B">
        <w:rPr>
          <w:rFonts w:ascii="Arial" w:hAnsi="Arial" w:cs="Arial"/>
          <w:color w:val="000000" w:themeColor="text1"/>
          <w:sz w:val="22"/>
          <w:lang w:val="sr-Latn-CS"/>
        </w:rPr>
        <w:t xml:space="preserve"> 1 stav 2, 14 tačka 2,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16</w:t>
      </w:r>
      <w:r w:rsidR="009E3527">
        <w:rPr>
          <w:rFonts w:ascii="Arial" w:hAnsi="Arial" w:cs="Arial"/>
          <w:color w:val="000000" w:themeColor="text1"/>
          <w:sz w:val="22"/>
          <w:lang w:val="sr-Latn-CS"/>
        </w:rPr>
        <w:t>, 29 stav 1 tačka 3 i</w:t>
      </w:r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30 stav 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(„Službeni list CG“, br. 44/12 i 30/17)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člana 36 stav 6 Zakona o arbitraži </w:t>
      </w:r>
      <w:r w:rsidRPr="008A526C">
        <w:rPr>
          <w:rFonts w:ascii="Arial" w:hAnsi="Arial" w:cs="Arial"/>
          <w:color w:val="000000" w:themeColor="text1"/>
          <w:sz w:val="22"/>
          <w:lang w:val="en-US"/>
        </w:rPr>
        <w:t>("</w:t>
      </w:r>
      <w:proofErr w:type="spellStart"/>
      <w:r w:rsidRPr="008A526C">
        <w:rPr>
          <w:rFonts w:ascii="Arial" w:hAnsi="Arial" w:cs="Arial"/>
          <w:color w:val="000000" w:themeColor="text1"/>
          <w:sz w:val="22"/>
          <w:lang w:val="en-US"/>
        </w:rPr>
        <w:t>Službeni</w:t>
      </w:r>
      <w:proofErr w:type="spellEnd"/>
      <w:r w:rsidRPr="008A526C">
        <w:rPr>
          <w:rFonts w:ascii="Arial" w:hAnsi="Arial" w:cs="Arial"/>
          <w:color w:val="000000" w:themeColor="text1"/>
          <w:sz w:val="22"/>
          <w:lang w:val="en-US"/>
        </w:rPr>
        <w:t xml:space="preserve"> list </w:t>
      </w:r>
      <w:proofErr w:type="spellStart"/>
      <w:r w:rsidRPr="008A526C">
        <w:rPr>
          <w:rFonts w:ascii="Arial" w:hAnsi="Arial" w:cs="Arial"/>
          <w:color w:val="000000" w:themeColor="text1"/>
          <w:sz w:val="22"/>
          <w:lang w:val="en-US"/>
        </w:rPr>
        <w:t>Crne</w:t>
      </w:r>
      <w:proofErr w:type="spellEnd"/>
      <w:r w:rsidRPr="008A526C">
        <w:rPr>
          <w:rFonts w:ascii="Arial" w:hAnsi="Arial" w:cs="Arial"/>
          <w:color w:val="000000" w:themeColor="text1"/>
          <w:sz w:val="22"/>
          <w:lang w:val="en-US"/>
        </w:rPr>
        <w:t xml:space="preserve"> Gore", br. 047/15 od 18.08.2015)</w:t>
      </w:r>
      <w:r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zahtjevu </w:t>
      </w:r>
      <w:r w:rsidR="009C7896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- MANS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iz Podgorice,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5782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09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E3527">
        <w:rPr>
          <w:rFonts w:ascii="Arial" w:hAnsi="Arial" w:cs="Arial"/>
          <w:color w:val="000000" w:themeColor="text1"/>
          <w:sz w:val="22"/>
          <w:lang w:val="sr-Latn-CS"/>
        </w:rPr>
        <w:t xml:space="preserve">v.d. sekretarke ministarstva na osnovu ovlašćenja broj: </w:t>
      </w:r>
      <w:r w:rsidR="009E3527" w:rsidRPr="00585592">
        <w:rPr>
          <w:rFonts w:ascii="Arial" w:hAnsi="Arial" w:cs="Arial"/>
          <w:bCs/>
          <w:sz w:val="22"/>
          <w:lang w:val="hr-HR"/>
        </w:rPr>
        <w:t>016-102/23-5926/</w:t>
      </w:r>
      <w:r w:rsidR="009E3527">
        <w:rPr>
          <w:rFonts w:ascii="Arial" w:hAnsi="Arial" w:cs="Arial"/>
          <w:bCs/>
          <w:sz w:val="22"/>
          <w:lang w:val="hr-HR"/>
        </w:rPr>
        <w:t>1</w:t>
      </w:r>
      <w:r w:rsidR="009E3527" w:rsidRPr="00585592">
        <w:rPr>
          <w:rFonts w:ascii="Arial" w:hAnsi="Arial" w:cs="Arial"/>
          <w:color w:val="000000" w:themeColor="text1"/>
          <w:sz w:val="28"/>
          <w:lang w:val="sr-Latn-CS"/>
        </w:rPr>
        <w:t xml:space="preserve"> </w:t>
      </w:r>
      <w:r w:rsidR="009E3527">
        <w:rPr>
          <w:rFonts w:ascii="Arial" w:hAnsi="Arial" w:cs="Arial"/>
          <w:color w:val="000000" w:themeColor="text1"/>
          <w:sz w:val="22"/>
          <w:lang w:val="sr-Latn-CS"/>
        </w:rPr>
        <w:t>od 15.09.2023.godine</w:t>
      </w:r>
      <w:r w:rsidR="00541A0B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donosi </w:t>
      </w:r>
    </w:p>
    <w:p w14:paraId="3F0F56AF" w14:textId="77777777" w:rsidR="00CC6AA8" w:rsidRPr="006C189D" w:rsidRDefault="00CC6AA8" w:rsidP="00CC6AA8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A7D4F8A" w14:textId="77777777" w:rsidR="00CC6AA8" w:rsidRDefault="00CC6AA8" w:rsidP="00CC6AA8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4461446A" w14:textId="77777777" w:rsidR="00CC6AA8" w:rsidRPr="00DE78B2" w:rsidRDefault="00CC6AA8" w:rsidP="00CC6AA8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628A63D5" w14:textId="3E583234" w:rsidR="00CC6AA8" w:rsidRDefault="00CC6AA8" w:rsidP="00CC6AA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 xml:space="preserve">I </w:t>
      </w:r>
      <w:r>
        <w:rPr>
          <w:rFonts w:ascii="Arial" w:eastAsia="Calibri" w:hAnsi="Arial" w:cs="Arial"/>
          <w:b/>
          <w:sz w:val="22"/>
          <w:lang w:val="pl-PL"/>
        </w:rPr>
        <w:t xml:space="preserve">ODBIJA SE </w:t>
      </w:r>
      <w:r w:rsidRPr="00686045">
        <w:rPr>
          <w:rFonts w:ascii="Arial" w:eastAsia="Calibri" w:hAnsi="Arial" w:cs="Arial"/>
          <w:sz w:val="22"/>
          <w:lang w:val="pl-PL"/>
        </w:rPr>
        <w:t>zahtjev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7896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- MANS</w:t>
      </w:r>
      <w:r w:rsidR="009C7896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7896">
        <w:rPr>
          <w:rFonts w:ascii="Arial" w:hAnsi="Arial" w:cs="Arial"/>
          <w:color w:val="000000" w:themeColor="text1"/>
          <w:sz w:val="22"/>
          <w:lang w:val="sr-Latn-CS"/>
        </w:rPr>
        <w:t xml:space="preserve"> iz Podgorice, </w:t>
      </w:r>
      <w:r w:rsidR="009C789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C7896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9C789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9C7896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9C7896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5782</w:t>
      </w:r>
      <w:r w:rsidR="009C7896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9C7896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9C789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09</w:t>
      </w:r>
      <w:r w:rsidR="009C7896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9C7896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9C7896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color w:val="000000" w:themeColor="text1"/>
          <w:sz w:val="22"/>
          <w:lang w:val="sr-Latn-CS"/>
        </w:rPr>
        <w:t>, kao neosnovan.</w:t>
      </w:r>
    </w:p>
    <w:p w14:paraId="61FE34FC" w14:textId="0983C4BE" w:rsidR="00AE326F" w:rsidRPr="00A50FBD" w:rsidRDefault="00AE326F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1315D9">
        <w:rPr>
          <w:rFonts w:ascii="Arial" w:eastAsia="Calibri" w:hAnsi="Arial" w:cs="Arial"/>
          <w:b/>
          <w:sz w:val="22"/>
          <w:lang w:val="pl-PL"/>
        </w:rPr>
        <w:t xml:space="preserve">II </w:t>
      </w:r>
      <w:r w:rsidR="00A50FBD">
        <w:rPr>
          <w:rFonts w:ascii="Arial" w:eastAsia="Calibri" w:hAnsi="Arial" w:cs="Arial"/>
          <w:sz w:val="22"/>
          <w:lang w:val="pl-PL"/>
        </w:rPr>
        <w:t>Troškova postupka nije bilo</w:t>
      </w:r>
      <w:r>
        <w:rPr>
          <w:rFonts w:ascii="Arial" w:eastAsia="Calibri" w:hAnsi="Arial" w:cs="Arial"/>
          <w:sz w:val="22"/>
          <w:lang w:val="pl-PL"/>
        </w:rPr>
        <w:t>.</w:t>
      </w:r>
    </w:p>
    <w:p w14:paraId="589E9B36" w14:textId="454F2E94" w:rsidR="008C7652" w:rsidRPr="00FA6F3F" w:rsidRDefault="0036697B" w:rsidP="008A4578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                                           </w:t>
      </w:r>
    </w:p>
    <w:p w14:paraId="57B55B81" w14:textId="4C732BF5" w:rsidR="0036697B" w:rsidRDefault="0036697B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796A30F7" w14:textId="77777777" w:rsidR="004377C6" w:rsidRPr="00FA6F3F" w:rsidRDefault="004377C6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</w:p>
    <w:p w14:paraId="61B5ACAB" w14:textId="3D67C361" w:rsidR="008A4578" w:rsidRPr="00FA6F3F" w:rsidRDefault="00CC6AA8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C86AEA">
        <w:rPr>
          <w:rFonts w:ascii="Arial" w:hAnsi="Arial" w:cs="Arial"/>
          <w:sz w:val="22"/>
        </w:rPr>
        <w:t xml:space="preserve">Dana </w:t>
      </w:r>
      <w:r w:rsidR="009C7896">
        <w:rPr>
          <w:rFonts w:ascii="Arial" w:hAnsi="Arial" w:cs="Arial"/>
          <w:sz w:val="22"/>
        </w:rPr>
        <w:t>08</w:t>
      </w:r>
      <w:r w:rsidRPr="00C86AEA">
        <w:rPr>
          <w:rFonts w:ascii="Arial" w:hAnsi="Arial" w:cs="Arial"/>
          <w:sz w:val="22"/>
        </w:rPr>
        <w:t>.</w:t>
      </w:r>
      <w:r w:rsidR="009C7896">
        <w:rPr>
          <w:rFonts w:ascii="Arial" w:hAnsi="Arial" w:cs="Arial"/>
          <w:sz w:val="22"/>
        </w:rPr>
        <w:t>09</w:t>
      </w:r>
      <w:r w:rsidRPr="00C86AEA">
        <w:rPr>
          <w:rFonts w:ascii="Arial" w:hAnsi="Arial" w:cs="Arial"/>
          <w:sz w:val="22"/>
        </w:rPr>
        <w:t>.202</w:t>
      </w:r>
      <w:r w:rsidR="009C7896">
        <w:rPr>
          <w:rFonts w:ascii="Arial" w:hAnsi="Arial" w:cs="Arial"/>
          <w:sz w:val="22"/>
        </w:rPr>
        <w:t>3</w:t>
      </w:r>
      <w:r w:rsidRPr="00C86AEA">
        <w:rPr>
          <w:rFonts w:ascii="Arial" w:hAnsi="Arial" w:cs="Arial"/>
          <w:sz w:val="22"/>
        </w:rPr>
        <w:t>.godine, Ministarstvu ekonomskog razvoja</w:t>
      </w:r>
      <w:r>
        <w:rPr>
          <w:rFonts w:ascii="Arial" w:hAnsi="Arial" w:cs="Arial"/>
          <w:sz w:val="22"/>
        </w:rPr>
        <w:t xml:space="preserve"> i turizma</w:t>
      </w:r>
      <w:r w:rsidRPr="00C86AEA">
        <w:rPr>
          <w:rFonts w:ascii="Arial" w:hAnsi="Arial" w:cs="Arial"/>
          <w:sz w:val="22"/>
        </w:rPr>
        <w:t xml:space="preserve">, </w:t>
      </w:r>
      <w:r w:rsidR="009C7896">
        <w:rPr>
          <w:rFonts w:ascii="Arial" w:hAnsi="Arial" w:cs="Arial"/>
          <w:color w:val="000000" w:themeColor="text1"/>
          <w:sz w:val="22"/>
          <w:lang w:val="sr-Latn-CS"/>
        </w:rPr>
        <w:t>NVO Mreža za afirmaciju nevladinog sektora - MANS</w:t>
      </w:r>
      <w:r w:rsidR="009C7896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7896">
        <w:rPr>
          <w:rFonts w:ascii="Arial" w:hAnsi="Arial" w:cs="Arial"/>
          <w:color w:val="000000" w:themeColor="text1"/>
          <w:sz w:val="22"/>
          <w:lang w:val="sr-Latn-CS"/>
        </w:rPr>
        <w:t xml:space="preserve"> iz Podgorice</w:t>
      </w:r>
      <w:r w:rsidRPr="00C86AE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ul.Dalmatinska br.188,</w:t>
      </w:r>
      <w:r w:rsidRPr="00C86AEA">
        <w:rPr>
          <w:rFonts w:ascii="Arial" w:hAnsi="Arial" w:cs="Arial"/>
          <w:sz w:val="22"/>
        </w:rPr>
        <w:t xml:space="preserve"> podnije</w:t>
      </w:r>
      <w:r>
        <w:rPr>
          <w:rFonts w:ascii="Arial" w:hAnsi="Arial" w:cs="Arial"/>
          <w:sz w:val="22"/>
        </w:rPr>
        <w:t xml:space="preserve">la </w:t>
      </w:r>
      <w:r w:rsidRPr="00C86AEA">
        <w:rPr>
          <w:rFonts w:ascii="Arial" w:hAnsi="Arial" w:cs="Arial"/>
          <w:sz w:val="22"/>
        </w:rPr>
        <w:t>je zahtjev za slobodan pristup informacijama</w:t>
      </w:r>
      <w:r>
        <w:rPr>
          <w:rFonts w:ascii="Arial" w:hAnsi="Arial" w:cs="Arial"/>
          <w:sz w:val="22"/>
        </w:rPr>
        <w:t xml:space="preserve">,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9C7896">
        <w:rPr>
          <w:rFonts w:ascii="Arial" w:hAnsi="Arial" w:cs="Arial"/>
          <w:bCs/>
          <w:color w:val="000000" w:themeColor="text1"/>
          <w:sz w:val="22"/>
          <w:lang w:val="hr-HR"/>
        </w:rPr>
        <w:t>5782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>
        <w:rPr>
          <w:rFonts w:ascii="Arial" w:hAnsi="Arial" w:cs="Arial"/>
          <w:sz w:val="22"/>
          <w:lang w:val="sr-Latn-CS"/>
        </w:rPr>
        <w:t xml:space="preserve">, kojim je </w:t>
      </w:r>
      <w:r w:rsidR="009C7896">
        <w:rPr>
          <w:rFonts w:ascii="Arial" w:hAnsi="Arial" w:cs="Arial"/>
          <w:sz w:val="22"/>
          <w:lang w:val="sr-Latn-CS"/>
        </w:rPr>
        <w:t>zatražen</w:t>
      </w:r>
      <w:r>
        <w:rPr>
          <w:rFonts w:ascii="Arial" w:hAnsi="Arial" w:cs="Arial"/>
          <w:sz w:val="22"/>
          <w:lang w:val="sr-Latn-CS"/>
        </w:rPr>
        <w:t xml:space="preserve"> pristup informacijama i to: </w:t>
      </w:r>
      <w:r>
        <w:rPr>
          <w:rFonts w:ascii="Arial" w:eastAsia="Calibri" w:hAnsi="Arial" w:cs="Arial"/>
          <w:sz w:val="22"/>
          <w:lang w:val="pl-PL"/>
        </w:rPr>
        <w:t>’’</w:t>
      </w:r>
      <w:r>
        <w:rPr>
          <w:rFonts w:ascii="Arial" w:hAnsi="Arial" w:cs="Arial"/>
          <w:sz w:val="22"/>
        </w:rPr>
        <w:t>Kopijama</w:t>
      </w:r>
      <w:r w:rsidRPr="00FF74B6">
        <w:rPr>
          <w:rFonts w:ascii="Arial" w:hAnsi="Arial" w:cs="Arial"/>
          <w:sz w:val="22"/>
        </w:rPr>
        <w:t xml:space="preserve"> svih akata (faktura, ugovora, odluka, rješenja, zahtjeva za plaćanje) na osnovu kojih su vršene isplate na dan 03.08.2022.godine prema Crnogorskoj komercijalnoj banci od strane Ministarstva ekonomskog razvoja i turizma - monitoring arbitražnih postupaka i to u iznosima od 1.441,81 eura, 700.00 eura i 124.858,19 eura</w:t>
      </w:r>
      <w:r>
        <w:rPr>
          <w:rFonts w:ascii="Arial" w:hAnsi="Arial" w:cs="Arial"/>
          <w:sz w:val="22"/>
        </w:rPr>
        <w:t xml:space="preserve"> </w:t>
      </w:r>
      <w:r w:rsidRPr="00FF74B6">
        <w:rPr>
          <w:rFonts w:ascii="Arial" w:hAnsi="Arial" w:cs="Arial"/>
          <w:sz w:val="22"/>
        </w:rPr>
        <w:t>( broj dokumenta 40137503, sa konta Advokatske usluge)</w:t>
      </w:r>
      <w:r>
        <w:rPr>
          <w:rFonts w:ascii="Arial" w:hAnsi="Arial" w:cs="Arial"/>
          <w:sz w:val="22"/>
        </w:rPr>
        <w:t>.</w:t>
      </w:r>
    </w:p>
    <w:p w14:paraId="3C4493B6" w14:textId="77777777" w:rsidR="008A526C" w:rsidRDefault="008A526C" w:rsidP="008A526C">
      <w:pPr>
        <w:spacing w:before="0" w:after="0" w:line="240" w:lineRule="auto"/>
        <w:rPr>
          <w:rFonts w:ascii="Arial" w:hAnsi="Arial" w:cs="Arial"/>
          <w:sz w:val="22"/>
        </w:rPr>
      </w:pPr>
    </w:p>
    <w:p w14:paraId="5FAE3184" w14:textId="510D3AFE" w:rsid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</w:t>
      </w:r>
      <w:r w:rsidR="00CC6AA8">
        <w:rPr>
          <w:rFonts w:ascii="Arial" w:hAnsi="Arial" w:cs="Arial"/>
          <w:sz w:val="22"/>
        </w:rPr>
        <w:t xml:space="preserve"> predmetnom</w:t>
      </w:r>
      <w:r w:rsidRPr="00DE78B2">
        <w:rPr>
          <w:rFonts w:ascii="Arial" w:hAnsi="Arial" w:cs="Arial"/>
          <w:sz w:val="22"/>
        </w:rPr>
        <w:t xml:space="preserve"> zahtjevu, </w:t>
      </w:r>
      <w:r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 da je</w:t>
      </w:r>
      <w:r>
        <w:rPr>
          <w:rFonts w:ascii="Arial" w:hAnsi="Arial" w:cs="Arial"/>
          <w:sz w:val="22"/>
        </w:rPr>
        <w:t xml:space="preserve"> u posjedu tražene informacije</w:t>
      </w:r>
      <w:r w:rsidRPr="00DE78B2">
        <w:rPr>
          <w:rFonts w:ascii="Arial" w:hAnsi="Arial" w:cs="Arial"/>
          <w:sz w:val="22"/>
        </w:rPr>
        <w:t xml:space="preserve">, te je </w:t>
      </w:r>
      <w:r>
        <w:rPr>
          <w:rFonts w:ascii="Arial" w:hAnsi="Arial" w:cs="Arial"/>
          <w:sz w:val="22"/>
        </w:rPr>
        <w:t>nakon</w:t>
      </w:r>
      <w:r w:rsidR="0075495B">
        <w:rPr>
          <w:rFonts w:ascii="Arial" w:hAnsi="Arial" w:cs="Arial"/>
          <w:sz w:val="22"/>
        </w:rPr>
        <w:t xml:space="preserve"> izvršenog</w:t>
      </w:r>
      <w:r>
        <w:rPr>
          <w:rFonts w:ascii="Arial" w:hAnsi="Arial" w:cs="Arial"/>
          <w:sz w:val="22"/>
        </w:rPr>
        <w:t xml:space="preserve"> uvida</w:t>
      </w:r>
      <w:r w:rsidR="00CC6AA8">
        <w:rPr>
          <w:rFonts w:ascii="Arial" w:hAnsi="Arial" w:cs="Arial"/>
          <w:sz w:val="22"/>
        </w:rPr>
        <w:t xml:space="preserve"> u istu</w:t>
      </w:r>
      <w:r>
        <w:rPr>
          <w:rFonts w:ascii="Arial" w:hAnsi="Arial" w:cs="Arial"/>
          <w:sz w:val="22"/>
        </w:rPr>
        <w:t xml:space="preserve"> utvrdilo, da cjelokupna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informacij</w:t>
      </w:r>
      <w:r w:rsidR="00CC6AA8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predstavlja </w:t>
      </w:r>
      <w:r w:rsidR="0075495B">
        <w:rPr>
          <w:rFonts w:ascii="Arial" w:hAnsi="Arial" w:cs="Arial"/>
          <w:sz w:val="22"/>
        </w:rPr>
        <w:t>sastavni dio arbitražnog postupka koji je u toku</w:t>
      </w:r>
      <w:r w:rsidR="00044DED">
        <w:rPr>
          <w:rFonts w:ascii="Arial" w:hAnsi="Arial" w:cs="Arial"/>
          <w:sz w:val="22"/>
        </w:rPr>
        <w:t>,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75495B">
        <w:rPr>
          <w:rFonts w:ascii="Arial" w:hAnsi="Arial" w:cs="Arial"/>
          <w:sz w:val="22"/>
        </w:rPr>
        <w:t>te je</w:t>
      </w:r>
      <w:r>
        <w:rPr>
          <w:rFonts w:ascii="Arial" w:hAnsi="Arial" w:cs="Arial"/>
          <w:sz w:val="22"/>
        </w:rPr>
        <w:t xml:space="preserve"> shodno tome u </w:t>
      </w:r>
      <w:r w:rsidRPr="00DE78B2">
        <w:rPr>
          <w:rFonts w:ascii="Arial" w:hAnsi="Arial" w:cs="Arial"/>
          <w:sz w:val="22"/>
        </w:rPr>
        <w:t>konkretnom slučaju</w:t>
      </w:r>
      <w:r>
        <w:rPr>
          <w:rFonts w:ascii="Arial" w:hAnsi="Arial" w:cs="Arial"/>
          <w:sz w:val="22"/>
        </w:rPr>
        <w:t xml:space="preserve"> </w:t>
      </w:r>
      <w:r w:rsidRPr="00DE78B2">
        <w:rPr>
          <w:rFonts w:ascii="Arial" w:hAnsi="Arial" w:cs="Arial"/>
          <w:sz w:val="22"/>
        </w:rPr>
        <w:t>bez odlaganja pristupilo sprovođenju testa štetnosti u slučaju dostavljanja</w:t>
      </w:r>
      <w:r>
        <w:rPr>
          <w:rFonts w:ascii="Arial" w:hAnsi="Arial" w:cs="Arial"/>
          <w:sz w:val="22"/>
        </w:rPr>
        <w:t xml:space="preserve"> </w:t>
      </w:r>
      <w:r w:rsidRPr="00DE78B2">
        <w:rPr>
          <w:rFonts w:ascii="Arial" w:hAnsi="Arial" w:cs="Arial"/>
          <w:sz w:val="22"/>
        </w:rPr>
        <w:t>tražen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 informacij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, u skladu sa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39CFAEB" w14:textId="3852B847" w:rsidR="009C7896" w:rsidRDefault="009C7896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98FBB47" w14:textId="0AC9156D" w:rsidR="008A526C" w:rsidRDefault="009C7896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Odredbom člana 16 stav 1 Zakona o slobodnom pristupu informacijama propisano je da će se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</w:t>
      </w:r>
      <w:r w:rsidRPr="009C7896">
        <w:rPr>
          <w:rFonts w:ascii="Arial" w:hAnsi="Arial" w:cs="Arial"/>
          <w:color w:val="000000" w:themeColor="text1"/>
          <w:sz w:val="22"/>
          <w:lang w:val="en-US"/>
        </w:rPr>
        <w:t>ristup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informaciji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ograničiti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ukoliko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bi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objelodanjivanje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informacije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značajno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ugrozilo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interes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14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ovog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odnosno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ukoliko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postoji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mogućnost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da bi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objelodanjivanje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informacije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izazvalo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štetne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posljedice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po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interes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koji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je od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većeg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značaja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od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interesa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javnosti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da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zna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tu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informaciju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osim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ako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postoji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preovlađujući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javni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interes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propisan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članom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17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ovog</w:t>
      </w:r>
      <w:proofErr w:type="spellEnd"/>
      <w:r w:rsidRPr="009C789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9C7896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5F47B8E8" w14:textId="5D8D92F7" w:rsidR="004377C6" w:rsidRDefault="004377C6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</w:p>
    <w:p w14:paraId="4E216E1E" w14:textId="30E72926" w:rsidR="004377C6" w:rsidRDefault="004377C6" w:rsidP="004377C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Odredbom člana 14 tačka 2 istog Zakona, između ostalog je propisano da o</w:t>
      </w:r>
      <w:r w:rsidRPr="00541A0B">
        <w:rPr>
          <w:rFonts w:ascii="Arial" w:hAnsi="Arial" w:cs="Arial"/>
          <w:color w:val="000000" w:themeColor="text1"/>
          <w:sz w:val="22"/>
          <w:lang w:val="sr-Latn-CS"/>
        </w:rPr>
        <w:t>rgan vlasti može ograničiti pristup informaciji ili dijelu informacije, ako je to u interesu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proofErr w:type="spellStart"/>
      <w:r w:rsidRPr="00541A0B">
        <w:rPr>
          <w:rFonts w:ascii="Arial" w:hAnsi="Arial" w:cs="Arial"/>
          <w:color w:val="000000" w:themeColor="text1"/>
          <w:sz w:val="22"/>
          <w:lang w:val="en-US"/>
        </w:rPr>
        <w:t>bezbjednosti</w:t>
      </w:r>
      <w:proofErr w:type="spellEnd"/>
      <w:r w:rsidRPr="00541A0B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Pr="00541A0B">
        <w:rPr>
          <w:rFonts w:ascii="Arial" w:hAnsi="Arial" w:cs="Arial"/>
          <w:color w:val="000000" w:themeColor="text1"/>
          <w:sz w:val="22"/>
          <w:lang w:val="en-US"/>
        </w:rPr>
        <w:t>odbrane</w:t>
      </w:r>
      <w:proofErr w:type="spellEnd"/>
      <w:r w:rsidRPr="00541A0B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Pr="00541A0B">
        <w:rPr>
          <w:rFonts w:ascii="Arial" w:hAnsi="Arial" w:cs="Arial"/>
          <w:color w:val="000000" w:themeColor="text1"/>
          <w:sz w:val="22"/>
          <w:lang w:val="en-US"/>
        </w:rPr>
        <w:t>spoljnje</w:t>
      </w:r>
      <w:proofErr w:type="spellEnd"/>
      <w:r w:rsidRPr="00541A0B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Pr="00541A0B">
        <w:rPr>
          <w:rFonts w:ascii="Arial" w:hAnsi="Arial" w:cs="Arial"/>
          <w:color w:val="000000" w:themeColor="text1"/>
          <w:sz w:val="22"/>
          <w:lang w:val="en-US"/>
        </w:rPr>
        <w:t>monetarne</w:t>
      </w:r>
      <w:proofErr w:type="spellEnd"/>
      <w:r w:rsidRPr="00541A0B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541A0B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Pr="00541A0B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541A0B">
        <w:rPr>
          <w:rFonts w:ascii="Arial" w:hAnsi="Arial" w:cs="Arial"/>
          <w:color w:val="000000" w:themeColor="text1"/>
          <w:sz w:val="22"/>
          <w:lang w:val="en-US"/>
        </w:rPr>
        <w:t>ekonomske</w:t>
      </w:r>
      <w:proofErr w:type="spellEnd"/>
      <w:r w:rsidRPr="00541A0B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541A0B">
        <w:rPr>
          <w:rFonts w:ascii="Arial" w:hAnsi="Arial" w:cs="Arial"/>
          <w:color w:val="000000" w:themeColor="text1"/>
          <w:sz w:val="22"/>
          <w:lang w:val="en-US"/>
        </w:rPr>
        <w:t>politike</w:t>
      </w:r>
      <w:proofErr w:type="spellEnd"/>
      <w:r w:rsidRPr="00541A0B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Pr="00541A0B">
        <w:rPr>
          <w:rFonts w:ascii="Arial" w:hAnsi="Arial" w:cs="Arial"/>
          <w:color w:val="000000" w:themeColor="text1"/>
          <w:sz w:val="22"/>
          <w:lang w:val="en-US"/>
        </w:rPr>
        <w:t>Crne</w:t>
      </w:r>
      <w:proofErr w:type="spellEnd"/>
      <w:r w:rsidRPr="00541A0B">
        <w:rPr>
          <w:rFonts w:ascii="Arial" w:hAnsi="Arial" w:cs="Arial"/>
          <w:color w:val="000000" w:themeColor="text1"/>
          <w:sz w:val="22"/>
          <w:lang w:val="en-US"/>
        </w:rPr>
        <w:t xml:space="preserve"> Gore</w:t>
      </w:r>
      <w:r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2F225718" w14:textId="537407B6" w:rsidR="004377C6" w:rsidRDefault="004377C6" w:rsidP="004377C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93281AE" w14:textId="77777777" w:rsidR="004377C6" w:rsidRDefault="004377C6" w:rsidP="004377C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smatra,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informacija tražena po zahtjevu predstavlja esencijalni dio arbitražnog postupka u kojem se kao jedna strana javlja Država Crna Gora, te da bi objelodanjivanjem istih mogle nastupiti štetne posljedice po Crnu Goru, čime bi se grubo ugorzili ekonomski i tržišni državni interesi. </w:t>
      </w:r>
    </w:p>
    <w:p w14:paraId="01A5C795" w14:textId="77777777" w:rsidR="004377C6" w:rsidRDefault="004377C6" w:rsidP="004377C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FCEC9E6" w14:textId="77777777" w:rsidR="004377C6" w:rsidRDefault="004377C6" w:rsidP="004377C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1FB2E69" w14:textId="77777777" w:rsidR="004377C6" w:rsidRDefault="004377C6" w:rsidP="004377C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558C2B6" w14:textId="6942C76C" w:rsidR="004377C6" w:rsidRDefault="004377C6" w:rsidP="004377C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S tim u vezi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nesporno se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utvrđuje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informacije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definisan u članu 17 Zakona o slobodnom pristupu informacijama </w:t>
      </w:r>
      <w:r>
        <w:rPr>
          <w:rFonts w:ascii="Arial" w:hAnsi="Arial" w:cs="Arial"/>
          <w:color w:val="000000" w:themeColor="text1"/>
          <w:sz w:val="22"/>
          <w:lang w:val="sr-Latn-CS"/>
        </w:rPr>
        <w:t>sa razloga što ishod arbitražnog postupka i posljedice istog po Državu Crnu Goru imaju primat u odnosu na zahtjev da se krucijalni dio arbitražnog postupka javno objelodani prije njegovog završetka i time potencijalno ugroze interesi Crne Gore i svih njenih građana</w:t>
      </w:r>
      <w:r w:rsidR="00907280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1B4C0325" w14:textId="77777777" w:rsidR="004377C6" w:rsidRDefault="004377C6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</w:p>
    <w:p w14:paraId="57C1AE77" w14:textId="0A7F3078" w:rsidR="00994F75" w:rsidRP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Nakon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što je utvrđeno da je dokumentacija tražena po predmetnom zahtjevu </w:t>
      </w:r>
      <w:r w:rsidR="00AD2404">
        <w:rPr>
          <w:rFonts w:ascii="Arial" w:hAnsi="Arial" w:cs="Arial"/>
          <w:sz w:val="22"/>
        </w:rPr>
        <w:t>sastavni dio arbitražnog postupka koji je u toku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044DED">
        <w:rPr>
          <w:rFonts w:ascii="Arial" w:hAnsi="Arial" w:cs="Arial"/>
          <w:color w:val="000000" w:themeColor="text1"/>
          <w:sz w:val="22"/>
        </w:rPr>
        <w:t>M</w:t>
      </w:r>
      <w:r w:rsidR="00044DED" w:rsidRPr="00FA6F3F">
        <w:rPr>
          <w:rFonts w:ascii="Arial" w:hAnsi="Arial" w:cs="Arial"/>
          <w:color w:val="000000" w:themeColor="text1"/>
          <w:sz w:val="22"/>
        </w:rPr>
        <w:t>inistarstvo je utvrdilo da</w:t>
      </w:r>
      <w:r w:rsidR="00044DED">
        <w:rPr>
          <w:rFonts w:ascii="Arial" w:hAnsi="Arial" w:cs="Arial"/>
          <w:color w:val="000000" w:themeColor="text1"/>
          <w:sz w:val="22"/>
        </w:rPr>
        <w:t xml:space="preserve"> kao takva podliježe</w:t>
      </w:r>
      <w:r w:rsidR="004377C6">
        <w:rPr>
          <w:rFonts w:ascii="Arial" w:hAnsi="Arial" w:cs="Arial"/>
          <w:color w:val="000000" w:themeColor="text1"/>
          <w:sz w:val="22"/>
        </w:rPr>
        <w:t xml:space="preserve"> i</w:t>
      </w:r>
      <w:r w:rsidR="00044DED">
        <w:rPr>
          <w:rFonts w:ascii="Arial" w:hAnsi="Arial" w:cs="Arial"/>
          <w:color w:val="000000" w:themeColor="text1"/>
          <w:sz w:val="22"/>
        </w:rPr>
        <w:t xml:space="preserve"> odredbi  člana 1 stav </w:t>
      </w:r>
      <w:r w:rsidR="004C0645">
        <w:rPr>
          <w:rFonts w:ascii="Arial" w:hAnsi="Arial" w:cs="Arial"/>
          <w:color w:val="000000" w:themeColor="text1"/>
          <w:sz w:val="22"/>
        </w:rPr>
        <w:t>2</w:t>
      </w:r>
      <w:r w:rsidR="00044DED">
        <w:rPr>
          <w:rFonts w:ascii="Arial" w:hAnsi="Arial" w:cs="Arial"/>
          <w:color w:val="000000" w:themeColor="text1"/>
          <w:sz w:val="22"/>
        </w:rPr>
        <w:t xml:space="preserve"> tačka 1 Zakona o slobodnom pristupu informacijama, kojom je propisano da se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o</w:t>
      </w:r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dredbe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slobodnom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pristupu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primjenjuju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sudskim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upravnim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drugim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propisanim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postupcima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kojima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je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pristup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tih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postupaka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utvrđen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, u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konkretnom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slučaju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Zakon</w:t>
      </w:r>
      <w:r w:rsidR="00AD2404">
        <w:rPr>
          <w:rFonts w:ascii="Arial" w:hAnsi="Arial" w:cs="Arial"/>
          <w:color w:val="000000" w:themeColor="text1"/>
          <w:sz w:val="22"/>
          <w:lang w:val="en-US"/>
        </w:rPr>
        <w:t>om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4ECE4AA8" w14:textId="5B12E07A" w:rsidR="00AD2404" w:rsidRDefault="00AD2404" w:rsidP="008A526C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072377AA" w14:textId="58F63866" w:rsidR="00994F75" w:rsidRPr="00FA6F3F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Prilikom donošenja odluke u obzir je uzeta i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odredb</w:t>
      </w:r>
      <w:r>
        <w:rPr>
          <w:rFonts w:ascii="Arial" w:hAnsi="Arial" w:cs="Arial"/>
          <w:color w:val="000000" w:themeColor="text1"/>
          <w:sz w:val="22"/>
          <w:lang w:val="en-US"/>
        </w:rPr>
        <w:t>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36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stav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koja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propisuje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da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ako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se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drukčije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sporazumiju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arbitražni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postupak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nije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javan</w:t>
      </w:r>
      <w:proofErr w:type="spellEnd"/>
      <w:r w:rsidR="00994F75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994F75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0FA09D01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l-SI"/>
        </w:rPr>
      </w:pPr>
    </w:p>
    <w:p w14:paraId="120A4D1F" w14:textId="6A10552D" w:rsidR="00260035" w:rsidRPr="00FA6F3F" w:rsidRDefault="00994F75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sz w:val="22"/>
          <w:lang w:val="sl-SI"/>
        </w:rPr>
        <w:t>Shodno naprijed iznijetom,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stekli</w:t>
      </w:r>
      <w:r>
        <w:rPr>
          <w:rFonts w:ascii="Arial" w:hAnsi="Arial" w:cs="Arial"/>
          <w:sz w:val="22"/>
          <w:lang w:val="sl-SI"/>
        </w:rPr>
        <w:t xml:space="preserve"> su se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uslovi za primjenu odredbe člana 30 stav 1 Zakona o sl</w:t>
      </w:r>
      <w:r w:rsidR="000F51F1">
        <w:rPr>
          <w:rFonts w:ascii="Arial" w:hAnsi="Arial" w:cs="Arial"/>
          <w:sz w:val="22"/>
          <w:lang w:val="sl-SI"/>
        </w:rPr>
        <w:t xml:space="preserve">obodnom pristupu informacijama, </w:t>
      </w:r>
      <w:r w:rsidR="000F51F1" w:rsidRPr="0006318E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</w:t>
      </w:r>
      <w:r w:rsidR="000F51F1">
        <w:rPr>
          <w:rFonts w:ascii="Arial" w:hAnsi="Arial" w:cs="Arial"/>
          <w:sz w:val="22"/>
          <w:lang w:val="sr-Latn-CS"/>
        </w:rPr>
        <w:t>, odnosno ponovnu upotrebu informacija  ili njenom dijelu ili zahtjev odbija.</w:t>
      </w:r>
    </w:p>
    <w:p w14:paraId="5695DB4C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F5E3768" w14:textId="4339411F" w:rsidR="00F37967" w:rsidRPr="00FA6F3F" w:rsidRDefault="004F7F52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>Na osnovu naprijed navedenog,</w:t>
      </w:r>
      <w:r w:rsidR="00541A0B">
        <w:rPr>
          <w:rFonts w:ascii="Arial" w:hAnsi="Arial" w:cs="Arial"/>
          <w:color w:val="000000" w:themeColor="text1"/>
          <w:sz w:val="22"/>
          <w:lang w:val="sr-Latn-CS"/>
        </w:rPr>
        <w:t xml:space="preserve"> shodno članu 30 stav 1 i 5 Zakona o slobodnom pristupu informacijama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riješeno je kao u dispozitivu.</w:t>
      </w:r>
    </w:p>
    <w:p w14:paraId="4B948D44" w14:textId="77777777" w:rsidR="00F6157C" w:rsidRPr="00FA6F3F" w:rsidRDefault="00F6157C" w:rsidP="00F016F4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A10D59C" w14:textId="61604954" w:rsidR="0036697B" w:rsidRPr="00FA6F3F" w:rsidRDefault="0036697B" w:rsidP="00BB0182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FA6F3F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314E61">
        <w:rPr>
          <w:rFonts w:ascii="Arial" w:hAnsi="Arial" w:cs="Arial"/>
          <w:noProof/>
          <w:color w:val="000000" w:themeColor="text1"/>
          <w:sz w:val="22"/>
        </w:rPr>
        <w:t xml:space="preserve"> i turizma</w:t>
      </w:r>
      <w:r w:rsidRPr="00FA6F3F">
        <w:rPr>
          <w:rFonts w:ascii="Arial" w:hAnsi="Arial" w:cs="Arial"/>
          <w:noProof/>
          <w:color w:val="000000" w:themeColor="text1"/>
          <w:sz w:val="22"/>
        </w:rPr>
        <w:t>.</w:t>
      </w:r>
      <w:r w:rsidRPr="00FA6F3F"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</w:t>
      </w:r>
      <w:r w:rsidRPr="00FA6F3F"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32DF8D6D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5415A93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773C9A48" w14:textId="3D271F91" w:rsidR="00C23318" w:rsidRPr="00FA6F3F" w:rsidRDefault="00541A0B" w:rsidP="00541A0B">
      <w:pPr>
        <w:tabs>
          <w:tab w:val="left" w:pos="6810"/>
        </w:tabs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  <w:r w:rsidR="009E3527">
        <w:rPr>
          <w:rFonts w:ascii="Arial" w:hAnsi="Arial" w:cs="Arial"/>
          <w:b/>
          <w:sz w:val="22"/>
        </w:rPr>
        <w:t>V.D SEKRETARKE</w:t>
      </w:r>
    </w:p>
    <w:p w14:paraId="46E7337F" w14:textId="76678486" w:rsidR="008A4578" w:rsidRPr="00AC1509" w:rsidRDefault="00C2331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</w:t>
      </w:r>
      <w:r w:rsidR="009E3527">
        <w:rPr>
          <w:rFonts w:ascii="Arial" w:hAnsi="Arial" w:cs="Arial"/>
          <w:sz w:val="22"/>
        </w:rPr>
        <w:t xml:space="preserve"> </w:t>
      </w:r>
      <w:r w:rsidR="00F37967" w:rsidRPr="00FA6F3F">
        <w:rPr>
          <w:rFonts w:ascii="Arial" w:hAnsi="Arial" w:cs="Arial"/>
          <w:sz w:val="22"/>
        </w:rPr>
        <w:t xml:space="preserve"> </w:t>
      </w:r>
      <w:r w:rsidR="009E3527">
        <w:rPr>
          <w:rFonts w:ascii="Arial" w:hAnsi="Arial" w:cs="Arial"/>
          <w:b/>
          <w:sz w:val="22"/>
        </w:rPr>
        <w:t>Milica Musović</w:t>
      </w:r>
      <w:r w:rsidR="00F016F4" w:rsidRPr="00AC1509">
        <w:rPr>
          <w:rFonts w:ascii="Arial" w:hAnsi="Arial" w:cs="Arial"/>
          <w:b/>
          <w:sz w:val="22"/>
        </w:rPr>
        <w:t xml:space="preserve"> </w:t>
      </w:r>
    </w:p>
    <w:p w14:paraId="1C15BC94" w14:textId="77777777" w:rsidR="008A4578" w:rsidRPr="00FA6F3F" w:rsidRDefault="008A457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6EFA58C" w14:textId="77777777" w:rsidR="00AC1509" w:rsidRPr="00FA6F3F" w:rsidRDefault="00AC1509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35D047" w14:textId="08F03E54" w:rsidR="00F016F4" w:rsidRPr="00FA6F3F" w:rsidRDefault="00F016F4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noProof/>
          <w:sz w:val="22"/>
        </w:rPr>
        <w:t xml:space="preserve">Dostavljeno: </w:t>
      </w:r>
      <w:r w:rsidRPr="00FA6F3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7783FEF1" w14:textId="77777777" w:rsidR="00F016F4" w:rsidRPr="00FA6F3F" w:rsidRDefault="00F016F4" w:rsidP="00F016F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>Podnosiocu zahtjeva</w:t>
      </w:r>
    </w:p>
    <w:p w14:paraId="248667C4" w14:textId="77777777" w:rsidR="00F016F4" w:rsidRPr="00FA6F3F" w:rsidRDefault="00F016F4" w:rsidP="00F016F4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     u spise predmeta</w:t>
      </w:r>
    </w:p>
    <w:p w14:paraId="53478D6A" w14:textId="77777777" w:rsidR="005E0B35" w:rsidRPr="00FA6F3F" w:rsidRDefault="00F016F4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</w:t>
      </w:r>
      <w:r w:rsidRPr="00FA6F3F">
        <w:rPr>
          <w:rFonts w:ascii="Arial" w:hAnsi="Arial" w:cs="Arial"/>
          <w:noProof/>
          <w:sz w:val="22"/>
        </w:rPr>
        <w:tab/>
        <w:t xml:space="preserve">     a/a</w:t>
      </w:r>
      <w:r w:rsidR="0036697B" w:rsidRPr="00FA6F3F">
        <w:rPr>
          <w:rFonts w:ascii="Arial" w:hAnsi="Arial" w:cs="Arial"/>
          <w:b/>
          <w:color w:val="000000" w:themeColor="text1"/>
          <w:sz w:val="22"/>
        </w:rPr>
        <w:t xml:space="preserve">   </w:t>
      </w:r>
    </w:p>
    <w:p w14:paraId="7B08F2B9" w14:textId="7F8D312A" w:rsidR="00F37967" w:rsidRDefault="0036697B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b/>
          <w:color w:val="000000" w:themeColor="text1"/>
          <w:sz w:val="22"/>
        </w:rPr>
        <w:t xml:space="preserve">  </w:t>
      </w:r>
    </w:p>
    <w:p w14:paraId="66A425DF" w14:textId="77777777" w:rsidR="00E6063A" w:rsidRPr="00FA6F3F" w:rsidRDefault="00E6063A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</w:p>
    <w:p w14:paraId="1C25660F" w14:textId="378B13EB" w:rsidR="008A526C" w:rsidRPr="00783BBA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sz w:val="16"/>
          <w:szCs w:val="16"/>
          <w:lang w:val="en-US"/>
        </w:rPr>
      </w:pPr>
      <w:bookmarkStart w:id="1" w:name="_GoBack"/>
      <w:bookmarkEnd w:id="1"/>
    </w:p>
    <w:p w14:paraId="61C91D05" w14:textId="77777777" w:rsidR="008A526C" w:rsidRPr="008A526C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sz w:val="16"/>
          <w:szCs w:val="16"/>
          <w:lang w:val="en-US"/>
        </w:rPr>
      </w:pPr>
      <w:bookmarkStart w:id="2" w:name="_Hlk125011253"/>
    </w:p>
    <w:bookmarkEnd w:id="2"/>
    <w:p w14:paraId="51A39EE0" w14:textId="7C53F2ED" w:rsidR="00F92952" w:rsidRPr="00FA6F3F" w:rsidRDefault="00F92952" w:rsidP="00CC6AA8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sectPr w:rsidR="00F92952" w:rsidRPr="00FA6F3F" w:rsidSect="004377C6">
      <w:headerReference w:type="default" r:id="rId10"/>
      <w:pgSz w:w="11906" w:h="16838" w:code="9"/>
      <w:pgMar w:top="1260" w:right="1466" w:bottom="27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7946B" w14:textId="77777777" w:rsidR="00BE769C" w:rsidRDefault="00BE769C" w:rsidP="00A6505B">
      <w:pPr>
        <w:spacing w:before="0" w:after="0" w:line="240" w:lineRule="auto"/>
      </w:pPr>
      <w:r>
        <w:separator/>
      </w:r>
    </w:p>
  </w:endnote>
  <w:endnote w:type="continuationSeparator" w:id="0">
    <w:p w14:paraId="250BEB57" w14:textId="77777777" w:rsidR="00BE769C" w:rsidRDefault="00BE769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88D5E" w14:textId="77777777" w:rsidR="00BE769C" w:rsidRDefault="00BE769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A56301E" w14:textId="77777777" w:rsidR="00BE769C" w:rsidRDefault="00BE769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A55B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25A3"/>
    <w:multiLevelType w:val="hybridMultilevel"/>
    <w:tmpl w:val="555A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66A39"/>
    <w:multiLevelType w:val="hybridMultilevel"/>
    <w:tmpl w:val="CCF80334"/>
    <w:lvl w:ilvl="0" w:tplc="AAA05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EAB"/>
    <w:rsid w:val="00020072"/>
    <w:rsid w:val="00020673"/>
    <w:rsid w:val="00040739"/>
    <w:rsid w:val="00043121"/>
    <w:rsid w:val="00044DED"/>
    <w:rsid w:val="000574C2"/>
    <w:rsid w:val="00060CFF"/>
    <w:rsid w:val="000646FA"/>
    <w:rsid w:val="000709D0"/>
    <w:rsid w:val="00072355"/>
    <w:rsid w:val="00087717"/>
    <w:rsid w:val="000907F8"/>
    <w:rsid w:val="00092ECC"/>
    <w:rsid w:val="000A2E01"/>
    <w:rsid w:val="000A4925"/>
    <w:rsid w:val="000B3FF2"/>
    <w:rsid w:val="000D3262"/>
    <w:rsid w:val="000D49B8"/>
    <w:rsid w:val="000F2AA0"/>
    <w:rsid w:val="000F2B95"/>
    <w:rsid w:val="000F2BFC"/>
    <w:rsid w:val="000F51F1"/>
    <w:rsid w:val="001053EE"/>
    <w:rsid w:val="00107821"/>
    <w:rsid w:val="00111C92"/>
    <w:rsid w:val="00112FDF"/>
    <w:rsid w:val="00121BD7"/>
    <w:rsid w:val="001259FF"/>
    <w:rsid w:val="001315D9"/>
    <w:rsid w:val="00136D11"/>
    <w:rsid w:val="00137D1C"/>
    <w:rsid w:val="00154D42"/>
    <w:rsid w:val="00156466"/>
    <w:rsid w:val="00177AC9"/>
    <w:rsid w:val="00182270"/>
    <w:rsid w:val="001822FC"/>
    <w:rsid w:val="001847FD"/>
    <w:rsid w:val="00185362"/>
    <w:rsid w:val="00196664"/>
    <w:rsid w:val="00196FE4"/>
    <w:rsid w:val="001A79B6"/>
    <w:rsid w:val="001A7E96"/>
    <w:rsid w:val="001C2DA5"/>
    <w:rsid w:val="001D2790"/>
    <w:rsid w:val="001D3909"/>
    <w:rsid w:val="001D433C"/>
    <w:rsid w:val="001F4D8A"/>
    <w:rsid w:val="001F75D5"/>
    <w:rsid w:val="00205759"/>
    <w:rsid w:val="00206783"/>
    <w:rsid w:val="00213ECB"/>
    <w:rsid w:val="00217203"/>
    <w:rsid w:val="00220712"/>
    <w:rsid w:val="0022142C"/>
    <w:rsid w:val="0022627A"/>
    <w:rsid w:val="0023798A"/>
    <w:rsid w:val="002459F1"/>
    <w:rsid w:val="00245B45"/>
    <w:rsid w:val="002473E1"/>
    <w:rsid w:val="002511E4"/>
    <w:rsid w:val="00252A36"/>
    <w:rsid w:val="00260035"/>
    <w:rsid w:val="002645EB"/>
    <w:rsid w:val="00271771"/>
    <w:rsid w:val="00271FC9"/>
    <w:rsid w:val="00277FA7"/>
    <w:rsid w:val="002838FA"/>
    <w:rsid w:val="002865C6"/>
    <w:rsid w:val="002868C9"/>
    <w:rsid w:val="002909FC"/>
    <w:rsid w:val="00292485"/>
    <w:rsid w:val="00292D5E"/>
    <w:rsid w:val="0029350C"/>
    <w:rsid w:val="002939FB"/>
    <w:rsid w:val="00293C85"/>
    <w:rsid w:val="00297B33"/>
    <w:rsid w:val="002A79A8"/>
    <w:rsid w:val="002A7CB3"/>
    <w:rsid w:val="002C02B2"/>
    <w:rsid w:val="002F0F34"/>
    <w:rsid w:val="002F28E8"/>
    <w:rsid w:val="002F461C"/>
    <w:rsid w:val="0030498F"/>
    <w:rsid w:val="00311681"/>
    <w:rsid w:val="00314E61"/>
    <w:rsid w:val="003168DA"/>
    <w:rsid w:val="00321267"/>
    <w:rsid w:val="003319C2"/>
    <w:rsid w:val="00336844"/>
    <w:rsid w:val="003417B8"/>
    <w:rsid w:val="00346351"/>
    <w:rsid w:val="00350578"/>
    <w:rsid w:val="00354D08"/>
    <w:rsid w:val="003550D7"/>
    <w:rsid w:val="0036697B"/>
    <w:rsid w:val="0037007E"/>
    <w:rsid w:val="003712E9"/>
    <w:rsid w:val="00372FCC"/>
    <w:rsid w:val="00374620"/>
    <w:rsid w:val="00375D08"/>
    <w:rsid w:val="00376E7D"/>
    <w:rsid w:val="003802FD"/>
    <w:rsid w:val="00381A6A"/>
    <w:rsid w:val="003A2A1C"/>
    <w:rsid w:val="003A6DB5"/>
    <w:rsid w:val="003B2907"/>
    <w:rsid w:val="003B4482"/>
    <w:rsid w:val="003C1926"/>
    <w:rsid w:val="003C3E78"/>
    <w:rsid w:val="003C6241"/>
    <w:rsid w:val="003D04FF"/>
    <w:rsid w:val="003D3BC1"/>
    <w:rsid w:val="003E445A"/>
    <w:rsid w:val="00400959"/>
    <w:rsid w:val="00403F9D"/>
    <w:rsid w:val="004112D5"/>
    <w:rsid w:val="00420DB4"/>
    <w:rsid w:val="004259A3"/>
    <w:rsid w:val="00430399"/>
    <w:rsid w:val="004377C6"/>
    <w:rsid w:val="004378E1"/>
    <w:rsid w:val="00440417"/>
    <w:rsid w:val="00447121"/>
    <w:rsid w:val="00451F6C"/>
    <w:rsid w:val="00451FF9"/>
    <w:rsid w:val="00455C14"/>
    <w:rsid w:val="00462702"/>
    <w:rsid w:val="00464C30"/>
    <w:rsid w:val="00467257"/>
    <w:rsid w:val="004679C3"/>
    <w:rsid w:val="00471CF8"/>
    <w:rsid w:val="00482894"/>
    <w:rsid w:val="00490B0C"/>
    <w:rsid w:val="004927ED"/>
    <w:rsid w:val="00494AB5"/>
    <w:rsid w:val="0049509D"/>
    <w:rsid w:val="00496260"/>
    <w:rsid w:val="00497FDD"/>
    <w:rsid w:val="004A14D0"/>
    <w:rsid w:val="004A291D"/>
    <w:rsid w:val="004A531D"/>
    <w:rsid w:val="004B0054"/>
    <w:rsid w:val="004C0645"/>
    <w:rsid w:val="004C0EAA"/>
    <w:rsid w:val="004C1C49"/>
    <w:rsid w:val="004C6A93"/>
    <w:rsid w:val="004D0068"/>
    <w:rsid w:val="004E3DA7"/>
    <w:rsid w:val="004F24B0"/>
    <w:rsid w:val="004F353D"/>
    <w:rsid w:val="004F5249"/>
    <w:rsid w:val="004F5D3D"/>
    <w:rsid w:val="004F7F52"/>
    <w:rsid w:val="00523147"/>
    <w:rsid w:val="00527623"/>
    <w:rsid w:val="00531FDF"/>
    <w:rsid w:val="00541A0B"/>
    <w:rsid w:val="005620C1"/>
    <w:rsid w:val="00562C92"/>
    <w:rsid w:val="005723C7"/>
    <w:rsid w:val="00574BE0"/>
    <w:rsid w:val="0057600C"/>
    <w:rsid w:val="00576E6A"/>
    <w:rsid w:val="00577910"/>
    <w:rsid w:val="005859BD"/>
    <w:rsid w:val="00590F8F"/>
    <w:rsid w:val="005A4E7E"/>
    <w:rsid w:val="005B0AD1"/>
    <w:rsid w:val="005B44BF"/>
    <w:rsid w:val="005C00D9"/>
    <w:rsid w:val="005C1552"/>
    <w:rsid w:val="005C6F24"/>
    <w:rsid w:val="005D3F36"/>
    <w:rsid w:val="005D76F9"/>
    <w:rsid w:val="005E0B35"/>
    <w:rsid w:val="005E12A9"/>
    <w:rsid w:val="005F1863"/>
    <w:rsid w:val="005F56D9"/>
    <w:rsid w:val="00602270"/>
    <w:rsid w:val="00606CAB"/>
    <w:rsid w:val="00612213"/>
    <w:rsid w:val="00616B1A"/>
    <w:rsid w:val="00616E2A"/>
    <w:rsid w:val="00617B4D"/>
    <w:rsid w:val="00621188"/>
    <w:rsid w:val="00622929"/>
    <w:rsid w:val="00623A5C"/>
    <w:rsid w:val="00630A76"/>
    <w:rsid w:val="00631AEC"/>
    <w:rsid w:val="00640CC8"/>
    <w:rsid w:val="006427B8"/>
    <w:rsid w:val="0064285F"/>
    <w:rsid w:val="00645114"/>
    <w:rsid w:val="00646D57"/>
    <w:rsid w:val="00653676"/>
    <w:rsid w:val="006567DB"/>
    <w:rsid w:val="00657B4E"/>
    <w:rsid w:val="00670CA1"/>
    <w:rsid w:val="006739CA"/>
    <w:rsid w:val="006827E8"/>
    <w:rsid w:val="006920E9"/>
    <w:rsid w:val="0069417B"/>
    <w:rsid w:val="006A24FA"/>
    <w:rsid w:val="006A2C40"/>
    <w:rsid w:val="006A5654"/>
    <w:rsid w:val="006B0CEE"/>
    <w:rsid w:val="006C00CC"/>
    <w:rsid w:val="006D711E"/>
    <w:rsid w:val="006E262C"/>
    <w:rsid w:val="006F405E"/>
    <w:rsid w:val="006F7050"/>
    <w:rsid w:val="006F717F"/>
    <w:rsid w:val="007031DB"/>
    <w:rsid w:val="0070474F"/>
    <w:rsid w:val="007104D9"/>
    <w:rsid w:val="007153D9"/>
    <w:rsid w:val="00722040"/>
    <w:rsid w:val="0072606B"/>
    <w:rsid w:val="007320EB"/>
    <w:rsid w:val="00733142"/>
    <w:rsid w:val="0073561A"/>
    <w:rsid w:val="00735865"/>
    <w:rsid w:val="007379FC"/>
    <w:rsid w:val="007448E4"/>
    <w:rsid w:val="0075026E"/>
    <w:rsid w:val="0075495B"/>
    <w:rsid w:val="00755F57"/>
    <w:rsid w:val="007565AF"/>
    <w:rsid w:val="007659A1"/>
    <w:rsid w:val="00770ADE"/>
    <w:rsid w:val="0077100B"/>
    <w:rsid w:val="00783BBA"/>
    <w:rsid w:val="00786F2E"/>
    <w:rsid w:val="007904A7"/>
    <w:rsid w:val="007935A8"/>
    <w:rsid w:val="00793CC7"/>
    <w:rsid w:val="00794586"/>
    <w:rsid w:val="007978B6"/>
    <w:rsid w:val="007B2B13"/>
    <w:rsid w:val="007B3844"/>
    <w:rsid w:val="007C0856"/>
    <w:rsid w:val="007C37B4"/>
    <w:rsid w:val="007C3D94"/>
    <w:rsid w:val="007F7ED5"/>
    <w:rsid w:val="00810444"/>
    <w:rsid w:val="0082154C"/>
    <w:rsid w:val="00822DBA"/>
    <w:rsid w:val="00824C7D"/>
    <w:rsid w:val="008619C0"/>
    <w:rsid w:val="00864CF3"/>
    <w:rsid w:val="008659F6"/>
    <w:rsid w:val="0087281A"/>
    <w:rsid w:val="00875D2B"/>
    <w:rsid w:val="0088156B"/>
    <w:rsid w:val="00885190"/>
    <w:rsid w:val="00885EF7"/>
    <w:rsid w:val="00894FB6"/>
    <w:rsid w:val="00895259"/>
    <w:rsid w:val="008A1D69"/>
    <w:rsid w:val="008A4578"/>
    <w:rsid w:val="008A526C"/>
    <w:rsid w:val="008A5C8A"/>
    <w:rsid w:val="008A79EC"/>
    <w:rsid w:val="008B292A"/>
    <w:rsid w:val="008B36C4"/>
    <w:rsid w:val="008B7CCD"/>
    <w:rsid w:val="008C1098"/>
    <w:rsid w:val="008C3F65"/>
    <w:rsid w:val="008C7652"/>
    <w:rsid w:val="008C7F82"/>
    <w:rsid w:val="008D246B"/>
    <w:rsid w:val="008D4DC2"/>
    <w:rsid w:val="008D55CD"/>
    <w:rsid w:val="008D6669"/>
    <w:rsid w:val="008E087E"/>
    <w:rsid w:val="008E4C92"/>
    <w:rsid w:val="008F21AB"/>
    <w:rsid w:val="00902E6C"/>
    <w:rsid w:val="00903B5D"/>
    <w:rsid w:val="00907170"/>
    <w:rsid w:val="00907280"/>
    <w:rsid w:val="009130A0"/>
    <w:rsid w:val="00922A8D"/>
    <w:rsid w:val="00926FBD"/>
    <w:rsid w:val="0092780A"/>
    <w:rsid w:val="00930B69"/>
    <w:rsid w:val="00931763"/>
    <w:rsid w:val="009374D3"/>
    <w:rsid w:val="009378DE"/>
    <w:rsid w:val="00940110"/>
    <w:rsid w:val="00946A67"/>
    <w:rsid w:val="00951A2E"/>
    <w:rsid w:val="0095267F"/>
    <w:rsid w:val="009541B7"/>
    <w:rsid w:val="00957753"/>
    <w:rsid w:val="0096107C"/>
    <w:rsid w:val="009633E9"/>
    <w:rsid w:val="00980162"/>
    <w:rsid w:val="00983262"/>
    <w:rsid w:val="00985728"/>
    <w:rsid w:val="009857B8"/>
    <w:rsid w:val="00994F75"/>
    <w:rsid w:val="00997452"/>
    <w:rsid w:val="00997C04"/>
    <w:rsid w:val="009B13F0"/>
    <w:rsid w:val="009B235D"/>
    <w:rsid w:val="009B2DFF"/>
    <w:rsid w:val="009C24ED"/>
    <w:rsid w:val="009C30AC"/>
    <w:rsid w:val="009C4B74"/>
    <w:rsid w:val="009C53DC"/>
    <w:rsid w:val="009C613B"/>
    <w:rsid w:val="009C66C9"/>
    <w:rsid w:val="009C7896"/>
    <w:rsid w:val="009D1C50"/>
    <w:rsid w:val="009E0AC4"/>
    <w:rsid w:val="009E3527"/>
    <w:rsid w:val="009E5484"/>
    <w:rsid w:val="009E5EBB"/>
    <w:rsid w:val="009E63C0"/>
    <w:rsid w:val="009E797A"/>
    <w:rsid w:val="009F08AE"/>
    <w:rsid w:val="009F6381"/>
    <w:rsid w:val="00A02A34"/>
    <w:rsid w:val="00A123BE"/>
    <w:rsid w:val="00A17262"/>
    <w:rsid w:val="00A2408E"/>
    <w:rsid w:val="00A31A19"/>
    <w:rsid w:val="00A50FBD"/>
    <w:rsid w:val="00A54B51"/>
    <w:rsid w:val="00A570BB"/>
    <w:rsid w:val="00A61DC0"/>
    <w:rsid w:val="00A638F9"/>
    <w:rsid w:val="00A6505B"/>
    <w:rsid w:val="00A6646D"/>
    <w:rsid w:val="00A8639D"/>
    <w:rsid w:val="00A870C8"/>
    <w:rsid w:val="00A930AB"/>
    <w:rsid w:val="00A978D2"/>
    <w:rsid w:val="00AA2377"/>
    <w:rsid w:val="00AA5485"/>
    <w:rsid w:val="00AB0E4F"/>
    <w:rsid w:val="00AB7F77"/>
    <w:rsid w:val="00AC1509"/>
    <w:rsid w:val="00AD2404"/>
    <w:rsid w:val="00AD4ECE"/>
    <w:rsid w:val="00AE326F"/>
    <w:rsid w:val="00AE4D8B"/>
    <w:rsid w:val="00AE69B5"/>
    <w:rsid w:val="00AF27FF"/>
    <w:rsid w:val="00B003EE"/>
    <w:rsid w:val="00B028AE"/>
    <w:rsid w:val="00B04B0E"/>
    <w:rsid w:val="00B10823"/>
    <w:rsid w:val="00B13AFC"/>
    <w:rsid w:val="00B142FB"/>
    <w:rsid w:val="00B167AC"/>
    <w:rsid w:val="00B16E24"/>
    <w:rsid w:val="00B1758F"/>
    <w:rsid w:val="00B2246F"/>
    <w:rsid w:val="00B24473"/>
    <w:rsid w:val="00B30915"/>
    <w:rsid w:val="00B40A06"/>
    <w:rsid w:val="00B473C2"/>
    <w:rsid w:val="00B47D2C"/>
    <w:rsid w:val="00B533E3"/>
    <w:rsid w:val="00B544B2"/>
    <w:rsid w:val="00B62360"/>
    <w:rsid w:val="00B708D0"/>
    <w:rsid w:val="00B82ECD"/>
    <w:rsid w:val="00B83F7A"/>
    <w:rsid w:val="00B8446B"/>
    <w:rsid w:val="00B84F08"/>
    <w:rsid w:val="00B8640D"/>
    <w:rsid w:val="00B97898"/>
    <w:rsid w:val="00BA5B08"/>
    <w:rsid w:val="00BA5DCA"/>
    <w:rsid w:val="00BB0182"/>
    <w:rsid w:val="00BB0212"/>
    <w:rsid w:val="00BB0E00"/>
    <w:rsid w:val="00BB181A"/>
    <w:rsid w:val="00BB45B5"/>
    <w:rsid w:val="00BB6BBE"/>
    <w:rsid w:val="00BC027E"/>
    <w:rsid w:val="00BE0A83"/>
    <w:rsid w:val="00BE3206"/>
    <w:rsid w:val="00BE3E4A"/>
    <w:rsid w:val="00BE4AC3"/>
    <w:rsid w:val="00BE769C"/>
    <w:rsid w:val="00BF464E"/>
    <w:rsid w:val="00BF4A10"/>
    <w:rsid w:val="00C118D8"/>
    <w:rsid w:val="00C1245A"/>
    <w:rsid w:val="00C12706"/>
    <w:rsid w:val="00C176EB"/>
    <w:rsid w:val="00C1779B"/>
    <w:rsid w:val="00C17842"/>
    <w:rsid w:val="00C20B68"/>
    <w:rsid w:val="00C20E0A"/>
    <w:rsid w:val="00C23318"/>
    <w:rsid w:val="00C32FC7"/>
    <w:rsid w:val="00C34F45"/>
    <w:rsid w:val="00C36AD1"/>
    <w:rsid w:val="00C440B6"/>
    <w:rsid w:val="00C4431F"/>
    <w:rsid w:val="00C46267"/>
    <w:rsid w:val="00C468BF"/>
    <w:rsid w:val="00C502E4"/>
    <w:rsid w:val="00C559CF"/>
    <w:rsid w:val="00C55CAE"/>
    <w:rsid w:val="00C603E0"/>
    <w:rsid w:val="00C83DAA"/>
    <w:rsid w:val="00C84028"/>
    <w:rsid w:val="00CA3028"/>
    <w:rsid w:val="00CA4058"/>
    <w:rsid w:val="00CA5411"/>
    <w:rsid w:val="00CA5F9B"/>
    <w:rsid w:val="00CA6BB5"/>
    <w:rsid w:val="00CB643B"/>
    <w:rsid w:val="00CC0BD6"/>
    <w:rsid w:val="00CC10A2"/>
    <w:rsid w:val="00CC2580"/>
    <w:rsid w:val="00CC6AA8"/>
    <w:rsid w:val="00CD159D"/>
    <w:rsid w:val="00CF010C"/>
    <w:rsid w:val="00CF017F"/>
    <w:rsid w:val="00CF36B1"/>
    <w:rsid w:val="00CF44FB"/>
    <w:rsid w:val="00CF540B"/>
    <w:rsid w:val="00D05D3E"/>
    <w:rsid w:val="00D1370E"/>
    <w:rsid w:val="00D2455F"/>
    <w:rsid w:val="00D26EBA"/>
    <w:rsid w:val="00D3780B"/>
    <w:rsid w:val="00D403E9"/>
    <w:rsid w:val="00D40927"/>
    <w:rsid w:val="00D621FD"/>
    <w:rsid w:val="00D62694"/>
    <w:rsid w:val="00D64572"/>
    <w:rsid w:val="00D651F7"/>
    <w:rsid w:val="00D92580"/>
    <w:rsid w:val="00D940A7"/>
    <w:rsid w:val="00DB166D"/>
    <w:rsid w:val="00DC338C"/>
    <w:rsid w:val="00DC4080"/>
    <w:rsid w:val="00DC5DF1"/>
    <w:rsid w:val="00DC7053"/>
    <w:rsid w:val="00DC79D0"/>
    <w:rsid w:val="00DC7D65"/>
    <w:rsid w:val="00DD2441"/>
    <w:rsid w:val="00DD4C1B"/>
    <w:rsid w:val="00DE5133"/>
    <w:rsid w:val="00DF0B51"/>
    <w:rsid w:val="00DF60F7"/>
    <w:rsid w:val="00DF7AAA"/>
    <w:rsid w:val="00E01992"/>
    <w:rsid w:val="00E34860"/>
    <w:rsid w:val="00E5069B"/>
    <w:rsid w:val="00E5527F"/>
    <w:rsid w:val="00E6063A"/>
    <w:rsid w:val="00E612F9"/>
    <w:rsid w:val="00E661C9"/>
    <w:rsid w:val="00E7104B"/>
    <w:rsid w:val="00E73A9B"/>
    <w:rsid w:val="00E74F68"/>
    <w:rsid w:val="00E75466"/>
    <w:rsid w:val="00E93FEC"/>
    <w:rsid w:val="00E96DFE"/>
    <w:rsid w:val="00EA2C91"/>
    <w:rsid w:val="00EA3F83"/>
    <w:rsid w:val="00EC1D7E"/>
    <w:rsid w:val="00EC54CE"/>
    <w:rsid w:val="00ED1F3C"/>
    <w:rsid w:val="00ED7FD4"/>
    <w:rsid w:val="00EE28F9"/>
    <w:rsid w:val="00F0094C"/>
    <w:rsid w:val="00F016F4"/>
    <w:rsid w:val="00F01E3A"/>
    <w:rsid w:val="00F03981"/>
    <w:rsid w:val="00F05E01"/>
    <w:rsid w:val="00F127D8"/>
    <w:rsid w:val="00F13E72"/>
    <w:rsid w:val="00F14B0C"/>
    <w:rsid w:val="00F16D1B"/>
    <w:rsid w:val="00F21A4A"/>
    <w:rsid w:val="00F22B0B"/>
    <w:rsid w:val="00F24D56"/>
    <w:rsid w:val="00F26CEC"/>
    <w:rsid w:val="00F308B4"/>
    <w:rsid w:val="00F323F6"/>
    <w:rsid w:val="00F341AA"/>
    <w:rsid w:val="00F37967"/>
    <w:rsid w:val="00F4533B"/>
    <w:rsid w:val="00F45B4F"/>
    <w:rsid w:val="00F55EA3"/>
    <w:rsid w:val="00F6157C"/>
    <w:rsid w:val="00F61893"/>
    <w:rsid w:val="00F63FBA"/>
    <w:rsid w:val="00F76DEF"/>
    <w:rsid w:val="00F857C5"/>
    <w:rsid w:val="00F9021E"/>
    <w:rsid w:val="00F92952"/>
    <w:rsid w:val="00F95508"/>
    <w:rsid w:val="00FA6401"/>
    <w:rsid w:val="00FA66B3"/>
    <w:rsid w:val="00FA6F3F"/>
    <w:rsid w:val="00FB30C0"/>
    <w:rsid w:val="00FD67F8"/>
    <w:rsid w:val="00FE3179"/>
    <w:rsid w:val="00FE4CFA"/>
    <w:rsid w:val="00FE67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B54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6B2FF4-114C-4504-A985-683D6A82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5</cp:revision>
  <cp:lastPrinted>2023-09-21T06:02:00Z</cp:lastPrinted>
  <dcterms:created xsi:type="dcterms:W3CDTF">2023-09-13T08:09:00Z</dcterms:created>
  <dcterms:modified xsi:type="dcterms:W3CDTF">2023-09-26T11:31:00Z</dcterms:modified>
</cp:coreProperties>
</file>